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B0" w:rsidRDefault="002A48B0" w:rsidP="002A48B0">
      <w:pPr>
        <w:bidi w:val="0"/>
        <w:jc w:val="center"/>
        <w:rPr>
          <w:b/>
          <w:bCs/>
          <w:sz w:val="32"/>
          <w:szCs w:val="32"/>
        </w:rPr>
      </w:pPr>
      <w:r w:rsidRPr="00306D0E">
        <w:rPr>
          <w:b/>
          <w:bCs/>
          <w:sz w:val="32"/>
          <w:szCs w:val="32"/>
        </w:rPr>
        <w:t xml:space="preserve">Differential validity </w:t>
      </w:r>
      <w:r>
        <w:rPr>
          <w:b/>
          <w:bCs/>
          <w:sz w:val="32"/>
          <w:szCs w:val="32"/>
        </w:rPr>
        <w:t xml:space="preserve">of </w:t>
      </w:r>
      <w:r w:rsidRPr="00306D0E">
        <w:rPr>
          <w:b/>
          <w:bCs/>
          <w:sz w:val="32"/>
          <w:szCs w:val="32"/>
        </w:rPr>
        <w:t xml:space="preserve">the GAT </w:t>
      </w:r>
      <w:r>
        <w:rPr>
          <w:b/>
          <w:bCs/>
          <w:sz w:val="32"/>
          <w:szCs w:val="32"/>
        </w:rPr>
        <w:t>Admission test</w:t>
      </w:r>
      <w:r w:rsidRPr="00306D0E">
        <w:rPr>
          <w:b/>
          <w:bCs/>
          <w:sz w:val="32"/>
          <w:szCs w:val="32"/>
        </w:rPr>
        <w:t xml:space="preserve"> in Saudi Arabia</w:t>
      </w:r>
    </w:p>
    <w:p w:rsidR="007A1ABE" w:rsidRDefault="007A1ABE" w:rsidP="00310FAD">
      <w:pPr>
        <w:bidi w:val="0"/>
        <w:jc w:val="center"/>
        <w:rPr>
          <w:b/>
          <w:bCs/>
        </w:rPr>
      </w:pPr>
    </w:p>
    <w:p w:rsidR="00310FAD" w:rsidRPr="00634B10" w:rsidRDefault="00310FAD" w:rsidP="007A1ABE">
      <w:pPr>
        <w:bidi w:val="0"/>
        <w:jc w:val="center"/>
        <w:rPr>
          <w:b/>
          <w:bCs/>
        </w:rPr>
      </w:pPr>
      <w:r w:rsidRPr="00634B10">
        <w:rPr>
          <w:b/>
          <w:bCs/>
        </w:rPr>
        <w:t>Abdullah AlQataee, PhD</w:t>
      </w:r>
    </w:p>
    <w:p w:rsidR="00310FAD" w:rsidRPr="00634B10" w:rsidRDefault="00310FAD" w:rsidP="00310FAD">
      <w:pPr>
        <w:bidi w:val="0"/>
        <w:jc w:val="center"/>
        <w:rPr>
          <w:b/>
          <w:bCs/>
        </w:rPr>
      </w:pPr>
      <w:r w:rsidRPr="00634B10">
        <w:rPr>
          <w:b/>
          <w:bCs/>
        </w:rPr>
        <w:t>Vice President for Measurement and Research</w:t>
      </w:r>
      <w:r>
        <w:rPr>
          <w:b/>
          <w:bCs/>
        </w:rPr>
        <w:t>, NCA</w:t>
      </w:r>
    </w:p>
    <w:p w:rsidR="007A1ABE" w:rsidRDefault="001F3C5F" w:rsidP="007A1ABE">
      <w:pPr>
        <w:bidi w:val="0"/>
        <w:jc w:val="center"/>
        <w:rPr>
          <w:b/>
          <w:bCs/>
        </w:rPr>
      </w:pPr>
      <w:r>
        <w:rPr>
          <w:b/>
          <w:bCs/>
        </w:rPr>
        <w:t>National Center for Assessment in Higher Education</w:t>
      </w:r>
    </w:p>
    <w:p w:rsidR="001F3C5F" w:rsidRDefault="001F3C5F" w:rsidP="001F3C5F">
      <w:pPr>
        <w:bidi w:val="0"/>
        <w:jc w:val="center"/>
        <w:rPr>
          <w:b/>
          <w:bCs/>
        </w:rPr>
      </w:pPr>
      <w:r>
        <w:rPr>
          <w:b/>
          <w:bCs/>
        </w:rPr>
        <w:t>Saudi Arabia</w:t>
      </w:r>
    </w:p>
    <w:p w:rsidR="001F3C5F" w:rsidRDefault="001F3C5F" w:rsidP="001F3C5F">
      <w:pPr>
        <w:bidi w:val="0"/>
        <w:jc w:val="center"/>
        <w:rPr>
          <w:b/>
          <w:bCs/>
        </w:rPr>
      </w:pPr>
      <w:hyperlink r:id="rId9" w:history="1">
        <w:r w:rsidRPr="001F1B9B">
          <w:rPr>
            <w:rStyle w:val="Hyperlink"/>
            <w:b/>
            <w:bCs/>
          </w:rPr>
          <w:t>a.qataee@qiyas.org</w:t>
        </w:r>
      </w:hyperlink>
    </w:p>
    <w:p w:rsidR="001F3C5F" w:rsidRDefault="001F3C5F" w:rsidP="001F3C5F">
      <w:pPr>
        <w:bidi w:val="0"/>
        <w:jc w:val="center"/>
        <w:rPr>
          <w:b/>
          <w:bCs/>
        </w:rPr>
      </w:pPr>
    </w:p>
    <w:p w:rsidR="001F3C5F" w:rsidRDefault="001F3C5F" w:rsidP="001F3C5F">
      <w:pPr>
        <w:bidi w:val="0"/>
        <w:jc w:val="center"/>
        <w:rPr>
          <w:b/>
          <w:bCs/>
        </w:rPr>
      </w:pPr>
    </w:p>
    <w:p w:rsidR="001F3C5F" w:rsidRDefault="001F3C5F" w:rsidP="001F3C5F">
      <w:pPr>
        <w:bidi w:val="0"/>
        <w:jc w:val="center"/>
        <w:rPr>
          <w:b/>
          <w:bCs/>
        </w:rPr>
      </w:pPr>
    </w:p>
    <w:p w:rsidR="001F3C5F" w:rsidRDefault="001F3C5F" w:rsidP="001F3C5F">
      <w:pPr>
        <w:bidi w:val="0"/>
        <w:jc w:val="center"/>
        <w:rPr>
          <w:b/>
          <w:bCs/>
        </w:rPr>
      </w:pPr>
    </w:p>
    <w:p w:rsidR="001F3C5F" w:rsidRDefault="001F3C5F" w:rsidP="001F3C5F">
      <w:pPr>
        <w:bidi w:val="0"/>
        <w:jc w:val="center"/>
        <w:rPr>
          <w:b/>
          <w:bCs/>
        </w:rPr>
      </w:pPr>
    </w:p>
    <w:p w:rsidR="001F3C5F" w:rsidRDefault="001F3C5F" w:rsidP="001F3C5F">
      <w:pPr>
        <w:bidi w:val="0"/>
        <w:jc w:val="center"/>
        <w:rPr>
          <w:b/>
          <w:bCs/>
        </w:rPr>
      </w:pPr>
    </w:p>
    <w:p w:rsidR="001F3C5F" w:rsidRDefault="001F3C5F" w:rsidP="001F3C5F">
      <w:pPr>
        <w:bidi w:val="0"/>
        <w:jc w:val="center"/>
        <w:rPr>
          <w:b/>
          <w:bCs/>
        </w:rPr>
      </w:pPr>
    </w:p>
    <w:p w:rsidR="001F3C5F" w:rsidRDefault="001F3C5F" w:rsidP="001F3C5F">
      <w:pPr>
        <w:bidi w:val="0"/>
        <w:jc w:val="center"/>
        <w:rPr>
          <w:b/>
          <w:bCs/>
        </w:rPr>
      </w:pPr>
    </w:p>
    <w:p w:rsidR="001F3C5F" w:rsidRDefault="001F3C5F" w:rsidP="001F3C5F">
      <w:pPr>
        <w:bidi w:val="0"/>
        <w:jc w:val="center"/>
        <w:rPr>
          <w:b/>
          <w:bCs/>
        </w:rPr>
      </w:pPr>
    </w:p>
    <w:p w:rsidR="001F3C5F" w:rsidRDefault="001F3C5F" w:rsidP="001F3C5F">
      <w:pPr>
        <w:bidi w:val="0"/>
        <w:jc w:val="center"/>
        <w:rPr>
          <w:b/>
          <w:bCs/>
        </w:rPr>
      </w:pPr>
    </w:p>
    <w:p w:rsidR="001F3C5F" w:rsidRDefault="001F3C5F" w:rsidP="001F3C5F">
      <w:pPr>
        <w:bidi w:val="0"/>
        <w:jc w:val="center"/>
        <w:rPr>
          <w:b/>
          <w:bCs/>
        </w:rPr>
      </w:pPr>
    </w:p>
    <w:p w:rsidR="001F3C5F" w:rsidRDefault="001F3C5F" w:rsidP="001F3C5F">
      <w:pPr>
        <w:bidi w:val="0"/>
        <w:jc w:val="center"/>
        <w:rPr>
          <w:b/>
          <w:bCs/>
        </w:rPr>
      </w:pPr>
    </w:p>
    <w:p w:rsidR="001F3C5F" w:rsidRDefault="001F3C5F" w:rsidP="001F3C5F">
      <w:pPr>
        <w:bidi w:val="0"/>
        <w:jc w:val="center"/>
        <w:rPr>
          <w:b/>
          <w:bCs/>
        </w:rPr>
      </w:pPr>
    </w:p>
    <w:p w:rsidR="001F3C5F" w:rsidRDefault="001F3C5F" w:rsidP="001F3C5F">
      <w:pPr>
        <w:bidi w:val="0"/>
        <w:jc w:val="center"/>
        <w:rPr>
          <w:b/>
          <w:bCs/>
        </w:rPr>
      </w:pPr>
    </w:p>
    <w:p w:rsidR="001F3C5F" w:rsidRDefault="001F3C5F" w:rsidP="001F3C5F">
      <w:pPr>
        <w:bidi w:val="0"/>
        <w:jc w:val="center"/>
        <w:rPr>
          <w:b/>
          <w:bCs/>
        </w:rPr>
      </w:pPr>
    </w:p>
    <w:p w:rsidR="001F3C5F" w:rsidRDefault="001F3C5F" w:rsidP="001F3C5F">
      <w:pPr>
        <w:bidi w:val="0"/>
        <w:jc w:val="center"/>
        <w:rPr>
          <w:b/>
          <w:bCs/>
        </w:rPr>
      </w:pPr>
    </w:p>
    <w:p w:rsidR="001F3C5F" w:rsidRDefault="001F3C5F" w:rsidP="001F3C5F">
      <w:pPr>
        <w:bidi w:val="0"/>
        <w:jc w:val="center"/>
        <w:rPr>
          <w:b/>
          <w:bCs/>
        </w:rPr>
      </w:pPr>
    </w:p>
    <w:p w:rsidR="001F3C5F" w:rsidRDefault="001F3C5F" w:rsidP="001F3C5F">
      <w:pPr>
        <w:bidi w:val="0"/>
        <w:jc w:val="center"/>
        <w:rPr>
          <w:b/>
          <w:bCs/>
        </w:rPr>
      </w:pPr>
    </w:p>
    <w:p w:rsidR="001F3C5F" w:rsidRDefault="001F3C5F" w:rsidP="001F3C5F">
      <w:pPr>
        <w:bidi w:val="0"/>
        <w:jc w:val="center"/>
        <w:rPr>
          <w:b/>
          <w:bCs/>
        </w:rPr>
      </w:pPr>
    </w:p>
    <w:p w:rsidR="001F3C5F" w:rsidRDefault="001F3C5F" w:rsidP="001F3C5F">
      <w:pPr>
        <w:bidi w:val="0"/>
        <w:jc w:val="center"/>
        <w:rPr>
          <w:b/>
          <w:bCs/>
        </w:rPr>
      </w:pPr>
    </w:p>
    <w:p w:rsidR="002B518F" w:rsidRDefault="002B518F" w:rsidP="002B518F">
      <w:pPr>
        <w:bidi w:val="0"/>
      </w:pPr>
      <w:r w:rsidRPr="002B518F">
        <w:rPr>
          <w:b/>
          <w:bCs/>
          <w:sz w:val="28"/>
          <w:szCs w:val="28"/>
        </w:rPr>
        <w:lastRenderedPageBreak/>
        <w:t>Abstract</w:t>
      </w:r>
      <w:r>
        <w:t>:</w:t>
      </w:r>
    </w:p>
    <w:p w:rsidR="002A48B0" w:rsidRPr="001F3C5F" w:rsidRDefault="002A48B0" w:rsidP="007A17E7">
      <w:pPr>
        <w:bidi w:val="0"/>
        <w:jc w:val="both"/>
        <w:rPr>
          <w:rFonts w:asciiTheme="majorBidi" w:hAnsiTheme="majorBidi" w:cstheme="majorBidi"/>
        </w:rPr>
      </w:pPr>
      <w:r w:rsidRPr="001F3C5F">
        <w:rPr>
          <w:rFonts w:asciiTheme="majorBidi" w:hAnsiTheme="majorBidi" w:cstheme="majorBidi"/>
        </w:rPr>
        <w:t xml:space="preserve">Several admission criteria have been used to predict university GPA in Saudi Arabian Universities. The General Aptitude Test (GAT) was introduced </w:t>
      </w:r>
      <w:r w:rsidR="002B518F" w:rsidRPr="001F3C5F">
        <w:rPr>
          <w:rFonts w:asciiTheme="majorBidi" w:hAnsiTheme="majorBidi" w:cstheme="majorBidi"/>
        </w:rPr>
        <w:t>el</w:t>
      </w:r>
      <w:r w:rsidRPr="001F3C5F">
        <w:rPr>
          <w:rFonts w:asciiTheme="majorBidi" w:hAnsiTheme="majorBidi" w:cstheme="majorBidi"/>
        </w:rPr>
        <w:t xml:space="preserve">even years ago by the National Center for Assessment in Higher Education. The test has two parts, verbal and quantitative. All items are in the multiple choice format. </w:t>
      </w:r>
    </w:p>
    <w:p w:rsidR="002A48B0" w:rsidRDefault="002A48B0" w:rsidP="007A17E7">
      <w:pPr>
        <w:bidi w:val="0"/>
        <w:jc w:val="both"/>
        <w:rPr>
          <w:rFonts w:asciiTheme="majorBidi" w:hAnsiTheme="majorBidi" w:cstheme="majorBidi"/>
        </w:rPr>
      </w:pPr>
      <w:r w:rsidRPr="001F3C5F">
        <w:rPr>
          <w:rFonts w:asciiTheme="majorBidi" w:hAnsiTheme="majorBidi" w:cstheme="majorBidi"/>
        </w:rPr>
        <w:t>High school students may register for the test in either the 11</w:t>
      </w:r>
      <w:r w:rsidRPr="001F3C5F">
        <w:rPr>
          <w:rFonts w:asciiTheme="majorBidi" w:hAnsiTheme="majorBidi" w:cstheme="majorBidi"/>
          <w:vertAlign w:val="superscript"/>
        </w:rPr>
        <w:t>th</w:t>
      </w:r>
      <w:r w:rsidRPr="001F3C5F">
        <w:rPr>
          <w:rFonts w:asciiTheme="majorBidi" w:hAnsiTheme="majorBidi" w:cstheme="majorBidi"/>
        </w:rPr>
        <w:t xml:space="preserve"> grade or the 12</w:t>
      </w:r>
      <w:r w:rsidRPr="001F3C5F">
        <w:rPr>
          <w:rFonts w:asciiTheme="majorBidi" w:hAnsiTheme="majorBidi" w:cstheme="majorBidi"/>
          <w:vertAlign w:val="superscript"/>
        </w:rPr>
        <w:t>th</w:t>
      </w:r>
      <w:r w:rsidRPr="001F3C5F">
        <w:rPr>
          <w:rFonts w:asciiTheme="majorBidi" w:hAnsiTheme="majorBidi" w:cstheme="majorBidi"/>
        </w:rPr>
        <w:t xml:space="preserve"> grade. Many studies of its validity have been conducted, especially its predictive validity. All these studies have concluded that the test has predictive validity comparable to other internationally known tests such as the SAT. Other validity evidence</w:t>
      </w:r>
      <w:r w:rsidR="00310FAD" w:rsidRPr="001F3C5F">
        <w:rPr>
          <w:rFonts w:asciiTheme="majorBidi" w:hAnsiTheme="majorBidi" w:cstheme="majorBidi"/>
        </w:rPr>
        <w:t>s</w:t>
      </w:r>
      <w:r w:rsidRPr="001F3C5F">
        <w:rPr>
          <w:rFonts w:asciiTheme="majorBidi" w:hAnsiTheme="majorBidi" w:cstheme="majorBidi"/>
        </w:rPr>
        <w:t xml:space="preserve"> </w:t>
      </w:r>
      <w:r w:rsidR="00310FAD" w:rsidRPr="001F3C5F">
        <w:rPr>
          <w:rFonts w:asciiTheme="majorBidi" w:hAnsiTheme="majorBidi" w:cstheme="majorBidi"/>
        </w:rPr>
        <w:t>are</w:t>
      </w:r>
      <w:r w:rsidRPr="001F3C5F">
        <w:rPr>
          <w:rFonts w:asciiTheme="majorBidi" w:hAnsiTheme="majorBidi" w:cstheme="majorBidi"/>
        </w:rPr>
        <w:t xml:space="preserve"> continually gathered. This study is intended to investigate GAT’s construct validity and assess its differential validity. </w:t>
      </w:r>
      <w:r w:rsidR="002B518F" w:rsidRPr="001F3C5F">
        <w:rPr>
          <w:rFonts w:asciiTheme="majorBidi" w:hAnsiTheme="majorBidi" w:cstheme="majorBidi"/>
        </w:rPr>
        <w:t xml:space="preserve">It aimed to answer the following </w:t>
      </w:r>
      <w:r w:rsidRPr="001F3C5F">
        <w:rPr>
          <w:rFonts w:asciiTheme="majorBidi" w:hAnsiTheme="majorBidi" w:cstheme="majorBidi"/>
        </w:rPr>
        <w:t>question</w:t>
      </w:r>
      <w:r w:rsidR="002B518F" w:rsidRPr="001F3C5F">
        <w:rPr>
          <w:rFonts w:asciiTheme="majorBidi" w:hAnsiTheme="majorBidi" w:cstheme="majorBidi"/>
        </w:rPr>
        <w:t>:</w:t>
      </w:r>
      <w:r w:rsidRPr="001F3C5F">
        <w:rPr>
          <w:rFonts w:asciiTheme="majorBidi" w:hAnsiTheme="majorBidi" w:cstheme="majorBidi"/>
        </w:rPr>
        <w:t xml:space="preserve"> </w:t>
      </w:r>
      <w:r w:rsidR="002B518F" w:rsidRPr="001F3C5F">
        <w:rPr>
          <w:rFonts w:asciiTheme="majorBidi" w:hAnsiTheme="majorBidi" w:cstheme="majorBidi"/>
        </w:rPr>
        <w:t>W</w:t>
      </w:r>
      <w:r w:rsidRPr="001F3C5F">
        <w:rPr>
          <w:rFonts w:asciiTheme="majorBidi" w:hAnsiTheme="majorBidi" w:cstheme="majorBidi"/>
        </w:rPr>
        <w:t>hen partialling out the effect of the high school GPA, does the GAT score differentiate high scorers from low scorers in university GPA?</w:t>
      </w:r>
      <w:r w:rsidR="002B518F" w:rsidRPr="001F3C5F">
        <w:rPr>
          <w:rFonts w:asciiTheme="majorBidi" w:hAnsiTheme="majorBidi" w:cstheme="majorBidi"/>
        </w:rPr>
        <w:t xml:space="preserve"> The findings indicate that regardless of the HSGPA magnitude the GAT score changes gauge the changes in FYGPA.</w:t>
      </w:r>
      <w:r w:rsidRPr="001F3C5F">
        <w:rPr>
          <w:rFonts w:asciiTheme="majorBidi" w:hAnsiTheme="majorBidi" w:cstheme="majorBidi"/>
        </w:rPr>
        <w:t xml:space="preserve">  </w:t>
      </w:r>
    </w:p>
    <w:p w:rsidR="001F3C5F" w:rsidRPr="001F3C5F" w:rsidRDefault="001F3C5F" w:rsidP="001F3C5F">
      <w:pPr>
        <w:bidi w:val="0"/>
        <w:jc w:val="both"/>
        <w:rPr>
          <w:rFonts w:asciiTheme="majorBidi" w:hAnsiTheme="majorBidi" w:cstheme="majorBidi"/>
          <w:b/>
          <w:bCs/>
        </w:rPr>
      </w:pPr>
      <w:r w:rsidRPr="001F3C5F">
        <w:rPr>
          <w:rFonts w:asciiTheme="majorBidi" w:hAnsiTheme="majorBidi" w:cstheme="majorBidi"/>
          <w:b/>
          <w:bCs/>
        </w:rPr>
        <w:t>Introduction:</w:t>
      </w:r>
    </w:p>
    <w:p w:rsidR="00592EC1" w:rsidRPr="001F3C5F" w:rsidRDefault="002A48B0" w:rsidP="007A17E7">
      <w:pPr>
        <w:autoSpaceDE w:val="0"/>
        <w:autoSpaceDN w:val="0"/>
        <w:bidi w:val="0"/>
        <w:adjustRightInd w:val="0"/>
        <w:spacing w:after="0" w:line="240" w:lineRule="auto"/>
        <w:jc w:val="both"/>
        <w:rPr>
          <w:rFonts w:asciiTheme="majorBidi" w:hAnsiTheme="majorBidi" w:cstheme="majorBidi"/>
          <w:sz w:val="24"/>
          <w:szCs w:val="24"/>
        </w:rPr>
      </w:pPr>
      <w:r w:rsidRPr="001F3C5F">
        <w:rPr>
          <w:rFonts w:asciiTheme="majorBidi" w:hAnsiTheme="majorBidi" w:cstheme="majorBidi"/>
          <w:sz w:val="24"/>
          <w:szCs w:val="24"/>
        </w:rPr>
        <w:t xml:space="preserve">Typically admission </w:t>
      </w:r>
      <w:r w:rsidR="00851D8B" w:rsidRPr="001F3C5F">
        <w:rPr>
          <w:rFonts w:asciiTheme="majorBidi" w:hAnsiTheme="majorBidi" w:cstheme="majorBidi"/>
          <w:sz w:val="24"/>
          <w:szCs w:val="24"/>
        </w:rPr>
        <w:t>criterion was</w:t>
      </w:r>
      <w:r w:rsidRPr="001F3C5F">
        <w:rPr>
          <w:rFonts w:asciiTheme="majorBidi" w:hAnsiTheme="majorBidi" w:cstheme="majorBidi"/>
          <w:sz w:val="24"/>
          <w:szCs w:val="24"/>
        </w:rPr>
        <w:t xml:space="preserve"> used to predict grade point average of the first year in universities </w:t>
      </w:r>
      <w:r w:rsidR="00851D8B" w:rsidRPr="001F3C5F">
        <w:rPr>
          <w:rFonts w:asciiTheme="majorBidi" w:hAnsiTheme="majorBidi" w:cstheme="majorBidi"/>
          <w:sz w:val="24"/>
          <w:szCs w:val="24"/>
        </w:rPr>
        <w:t>(FYGPA)</w:t>
      </w:r>
      <w:r w:rsidRPr="001F3C5F">
        <w:rPr>
          <w:rFonts w:asciiTheme="majorBidi" w:hAnsiTheme="majorBidi" w:cstheme="majorBidi"/>
          <w:sz w:val="24"/>
          <w:szCs w:val="24"/>
        </w:rPr>
        <w:t xml:space="preserve">. Some studies emphasize the importance of high school </w:t>
      </w:r>
      <w:proofErr w:type="gramStart"/>
      <w:r w:rsidRPr="001F3C5F">
        <w:rPr>
          <w:rFonts w:asciiTheme="majorBidi" w:hAnsiTheme="majorBidi" w:cstheme="majorBidi"/>
          <w:sz w:val="24"/>
          <w:szCs w:val="24"/>
        </w:rPr>
        <w:t xml:space="preserve">GPA </w:t>
      </w:r>
      <w:r w:rsidR="00310FAD" w:rsidRPr="001F3C5F">
        <w:rPr>
          <w:rFonts w:asciiTheme="majorBidi" w:hAnsiTheme="majorBidi" w:cstheme="majorBidi"/>
          <w:sz w:val="24"/>
          <w:szCs w:val="24"/>
        </w:rPr>
        <w:t xml:space="preserve"> while</w:t>
      </w:r>
      <w:proofErr w:type="gramEnd"/>
      <w:r w:rsidR="00310FAD" w:rsidRPr="001F3C5F">
        <w:rPr>
          <w:rFonts w:asciiTheme="majorBidi" w:hAnsiTheme="majorBidi" w:cstheme="majorBidi"/>
          <w:sz w:val="24"/>
          <w:szCs w:val="24"/>
        </w:rPr>
        <w:t xml:space="preserve"> </w:t>
      </w:r>
      <w:r w:rsidRPr="001F3C5F">
        <w:rPr>
          <w:rFonts w:asciiTheme="majorBidi" w:hAnsiTheme="majorBidi" w:cstheme="majorBidi"/>
          <w:sz w:val="24"/>
          <w:szCs w:val="24"/>
        </w:rPr>
        <w:t>other</w:t>
      </w:r>
      <w:r w:rsidR="00310FAD" w:rsidRPr="001F3C5F">
        <w:rPr>
          <w:rFonts w:asciiTheme="majorBidi" w:hAnsiTheme="majorBidi" w:cstheme="majorBidi"/>
          <w:sz w:val="24"/>
          <w:szCs w:val="24"/>
        </w:rPr>
        <w:t xml:space="preserve"> studies</w:t>
      </w:r>
      <w:r w:rsidRPr="001F3C5F">
        <w:rPr>
          <w:rFonts w:asciiTheme="majorBidi" w:hAnsiTheme="majorBidi" w:cstheme="majorBidi"/>
          <w:sz w:val="24"/>
          <w:szCs w:val="24"/>
        </w:rPr>
        <w:t xml:space="preserve"> put more emphases on admission tests such as SAT or ACT. For example, Morgan </w:t>
      </w:r>
      <w:r w:rsidR="00851D8B" w:rsidRPr="001F3C5F">
        <w:rPr>
          <w:rFonts w:asciiTheme="majorBidi" w:hAnsiTheme="majorBidi" w:cstheme="majorBidi"/>
          <w:sz w:val="24"/>
          <w:szCs w:val="24"/>
        </w:rPr>
        <w:t>(1989)</w:t>
      </w:r>
      <w:r w:rsidRPr="001F3C5F">
        <w:rPr>
          <w:rFonts w:asciiTheme="majorBidi" w:hAnsiTheme="majorBidi" w:cstheme="majorBidi"/>
          <w:sz w:val="24"/>
          <w:szCs w:val="24"/>
        </w:rPr>
        <w:t xml:space="preserve"> studied the predictive validity of the </w:t>
      </w:r>
      <w:r w:rsidR="00851D8B" w:rsidRPr="001F3C5F">
        <w:rPr>
          <w:rFonts w:asciiTheme="majorBidi" w:hAnsiTheme="majorBidi" w:cstheme="majorBidi"/>
          <w:sz w:val="24"/>
          <w:szCs w:val="24"/>
        </w:rPr>
        <w:t>SAT and HSPGA</w:t>
      </w:r>
      <w:r w:rsidR="00592EC1" w:rsidRPr="001F3C5F">
        <w:rPr>
          <w:rFonts w:asciiTheme="majorBidi" w:hAnsiTheme="majorBidi" w:cstheme="majorBidi"/>
          <w:sz w:val="24"/>
          <w:szCs w:val="24"/>
        </w:rPr>
        <w:t xml:space="preserve"> </w:t>
      </w:r>
      <w:r w:rsidRPr="001F3C5F">
        <w:rPr>
          <w:rFonts w:asciiTheme="majorBidi" w:hAnsiTheme="majorBidi" w:cstheme="majorBidi"/>
          <w:sz w:val="24"/>
          <w:szCs w:val="24"/>
        </w:rPr>
        <w:t>over a period of ten years.</w:t>
      </w:r>
      <w:r w:rsidR="00592EC1" w:rsidRPr="001F3C5F">
        <w:rPr>
          <w:rFonts w:asciiTheme="majorBidi" w:hAnsiTheme="majorBidi" w:cstheme="majorBidi"/>
          <w:sz w:val="24"/>
          <w:szCs w:val="24"/>
        </w:rPr>
        <w:t xml:space="preserve"> The findings indicated that SAT predictive validity decreased slightly from .51 to .47. However, </w:t>
      </w:r>
      <w:proofErr w:type="spellStart"/>
      <w:r w:rsidR="00592EC1" w:rsidRPr="001F3C5F">
        <w:rPr>
          <w:rFonts w:asciiTheme="majorBidi" w:hAnsiTheme="majorBidi" w:cstheme="majorBidi"/>
          <w:sz w:val="24"/>
          <w:szCs w:val="24"/>
        </w:rPr>
        <w:t>K</w:t>
      </w:r>
      <w:r w:rsidR="00B85CB7" w:rsidRPr="001F3C5F">
        <w:rPr>
          <w:rFonts w:asciiTheme="majorBidi" w:hAnsiTheme="majorBidi" w:cstheme="majorBidi"/>
          <w:sz w:val="24"/>
          <w:szCs w:val="24"/>
        </w:rPr>
        <w:t>ri</w:t>
      </w:r>
      <w:r w:rsidR="00592EC1" w:rsidRPr="001F3C5F">
        <w:rPr>
          <w:rFonts w:asciiTheme="majorBidi" w:hAnsiTheme="majorBidi" w:cstheme="majorBidi"/>
          <w:sz w:val="24"/>
          <w:szCs w:val="24"/>
        </w:rPr>
        <w:t>ck</w:t>
      </w:r>
      <w:proofErr w:type="spellEnd"/>
      <w:r w:rsidR="00592EC1" w:rsidRPr="001F3C5F">
        <w:rPr>
          <w:rFonts w:asciiTheme="majorBidi" w:hAnsiTheme="majorBidi" w:cstheme="majorBidi"/>
          <w:sz w:val="24"/>
          <w:szCs w:val="24"/>
        </w:rPr>
        <w:t xml:space="preserve"> and others (</w:t>
      </w:r>
      <w:r w:rsidR="00851D8B" w:rsidRPr="001F3C5F">
        <w:rPr>
          <w:rFonts w:asciiTheme="majorBidi" w:hAnsiTheme="majorBidi" w:cstheme="majorBidi"/>
          <w:sz w:val="24"/>
          <w:szCs w:val="24"/>
        </w:rPr>
        <w:t>199</w:t>
      </w:r>
      <w:r w:rsidR="00B85CB7" w:rsidRPr="001F3C5F">
        <w:rPr>
          <w:rFonts w:asciiTheme="majorBidi" w:hAnsiTheme="majorBidi" w:cstheme="majorBidi"/>
          <w:sz w:val="24"/>
          <w:szCs w:val="24"/>
        </w:rPr>
        <w:t>7</w:t>
      </w:r>
      <w:r w:rsidR="00851D8B" w:rsidRPr="001F3C5F">
        <w:rPr>
          <w:rFonts w:asciiTheme="majorBidi" w:hAnsiTheme="majorBidi" w:cstheme="majorBidi"/>
          <w:sz w:val="24"/>
          <w:szCs w:val="24"/>
        </w:rPr>
        <w:t>)</w:t>
      </w:r>
      <w:r w:rsidR="00592EC1" w:rsidRPr="001F3C5F">
        <w:rPr>
          <w:rFonts w:asciiTheme="majorBidi" w:hAnsiTheme="majorBidi" w:cstheme="majorBidi"/>
          <w:sz w:val="24"/>
          <w:szCs w:val="24"/>
        </w:rPr>
        <w:t>, and</w:t>
      </w:r>
      <w:r w:rsidR="00B85CB7" w:rsidRPr="001F3C5F">
        <w:rPr>
          <w:rFonts w:asciiTheme="majorBidi" w:hAnsiTheme="majorBidi" w:cstheme="majorBidi"/>
          <w:sz w:val="24"/>
          <w:szCs w:val="24"/>
        </w:rPr>
        <w:t xml:space="preserve"> Geiser</w:t>
      </w:r>
      <w:r w:rsidR="00592EC1" w:rsidRPr="001F3C5F">
        <w:rPr>
          <w:rFonts w:asciiTheme="majorBidi" w:hAnsiTheme="majorBidi" w:cstheme="majorBidi"/>
          <w:sz w:val="24"/>
          <w:szCs w:val="24"/>
        </w:rPr>
        <w:t xml:space="preserve"> </w:t>
      </w:r>
      <w:r w:rsidR="00B85CB7" w:rsidRPr="001F3C5F">
        <w:rPr>
          <w:rFonts w:asciiTheme="majorBidi" w:hAnsiTheme="majorBidi" w:cstheme="majorBidi"/>
          <w:sz w:val="24"/>
          <w:szCs w:val="24"/>
        </w:rPr>
        <w:t xml:space="preserve">and </w:t>
      </w:r>
      <w:r w:rsidR="00592EC1" w:rsidRPr="001F3C5F">
        <w:rPr>
          <w:rFonts w:asciiTheme="majorBidi" w:hAnsiTheme="majorBidi" w:cstheme="majorBidi"/>
          <w:sz w:val="24"/>
          <w:szCs w:val="24"/>
        </w:rPr>
        <w:t xml:space="preserve">Studley </w:t>
      </w:r>
      <w:r w:rsidR="00851D8B" w:rsidRPr="001F3C5F">
        <w:rPr>
          <w:rFonts w:asciiTheme="majorBidi" w:hAnsiTheme="majorBidi" w:cstheme="majorBidi"/>
          <w:sz w:val="24"/>
          <w:szCs w:val="24"/>
        </w:rPr>
        <w:t>(2003)</w:t>
      </w:r>
      <w:r w:rsidR="00592EC1" w:rsidRPr="001F3C5F">
        <w:rPr>
          <w:rFonts w:asciiTheme="majorBidi" w:hAnsiTheme="majorBidi" w:cstheme="majorBidi"/>
          <w:sz w:val="24"/>
          <w:szCs w:val="24"/>
        </w:rPr>
        <w:t xml:space="preserve"> stress the importance of HSGPA and SAT in predicting FYGPA. </w:t>
      </w:r>
      <w:r w:rsidR="00037363" w:rsidRPr="001F3C5F">
        <w:rPr>
          <w:rFonts w:asciiTheme="majorBidi" w:hAnsiTheme="majorBidi" w:cstheme="majorBidi"/>
          <w:sz w:val="24"/>
          <w:szCs w:val="24"/>
        </w:rPr>
        <w:t xml:space="preserve">In the other hand, some researchers stress the importance of HSGPA for predicting FYGPA over the SAT. For example, </w:t>
      </w:r>
      <w:r w:rsidR="00592EC1" w:rsidRPr="001F3C5F">
        <w:rPr>
          <w:rFonts w:asciiTheme="majorBidi" w:hAnsiTheme="majorBidi" w:cstheme="majorBidi"/>
          <w:sz w:val="24"/>
          <w:szCs w:val="24"/>
        </w:rPr>
        <w:t>Geiser and Santelices (200</w:t>
      </w:r>
      <w:r w:rsidR="00A059C8" w:rsidRPr="001F3C5F">
        <w:rPr>
          <w:rFonts w:asciiTheme="majorBidi" w:hAnsiTheme="majorBidi" w:cstheme="majorBidi"/>
          <w:sz w:val="24"/>
          <w:szCs w:val="24"/>
        </w:rPr>
        <w:t>1</w:t>
      </w:r>
      <w:r w:rsidR="00851D8B" w:rsidRPr="001F3C5F">
        <w:rPr>
          <w:rFonts w:asciiTheme="majorBidi" w:hAnsiTheme="majorBidi" w:cstheme="majorBidi"/>
          <w:sz w:val="24"/>
          <w:szCs w:val="24"/>
        </w:rPr>
        <w:t>) found</w:t>
      </w:r>
      <w:r w:rsidR="00037363" w:rsidRPr="001F3C5F">
        <w:rPr>
          <w:rFonts w:asciiTheme="majorBidi" w:hAnsiTheme="majorBidi" w:cstheme="majorBidi"/>
          <w:sz w:val="24"/>
          <w:szCs w:val="24"/>
        </w:rPr>
        <w:t xml:space="preserve"> high correlation between HSGPA and FYGPA. Th</w:t>
      </w:r>
      <w:r w:rsidR="00310FAD" w:rsidRPr="001F3C5F">
        <w:rPr>
          <w:rFonts w:asciiTheme="majorBidi" w:hAnsiTheme="majorBidi" w:cstheme="majorBidi"/>
          <w:sz w:val="24"/>
          <w:szCs w:val="24"/>
        </w:rPr>
        <w:t>ey</w:t>
      </w:r>
      <w:r w:rsidR="00037363" w:rsidRPr="001F3C5F">
        <w:rPr>
          <w:rFonts w:asciiTheme="majorBidi" w:hAnsiTheme="majorBidi" w:cstheme="majorBidi"/>
          <w:sz w:val="24"/>
          <w:szCs w:val="24"/>
        </w:rPr>
        <w:t xml:space="preserve"> argue that </w:t>
      </w:r>
      <w:r w:rsidR="00592EC1" w:rsidRPr="001F3C5F">
        <w:rPr>
          <w:rFonts w:asciiTheme="majorBidi" w:hAnsiTheme="majorBidi" w:cstheme="majorBidi"/>
          <w:sz w:val="24"/>
          <w:szCs w:val="24"/>
        </w:rPr>
        <w:t>standardized</w:t>
      </w:r>
      <w:r w:rsidR="00037363" w:rsidRPr="001F3C5F">
        <w:rPr>
          <w:rFonts w:asciiTheme="majorBidi" w:hAnsiTheme="majorBidi" w:cstheme="majorBidi"/>
          <w:sz w:val="24"/>
          <w:szCs w:val="24"/>
        </w:rPr>
        <w:t xml:space="preserve"> </w:t>
      </w:r>
      <w:r w:rsidR="00592EC1" w:rsidRPr="001F3C5F">
        <w:rPr>
          <w:rFonts w:asciiTheme="majorBidi" w:hAnsiTheme="majorBidi" w:cstheme="majorBidi"/>
          <w:sz w:val="24"/>
          <w:szCs w:val="24"/>
        </w:rPr>
        <w:t>tests should be deemphasized in college admissions.</w:t>
      </w:r>
      <w:r w:rsidR="00037363" w:rsidRPr="001F3C5F">
        <w:rPr>
          <w:rFonts w:asciiTheme="majorBidi" w:hAnsiTheme="majorBidi" w:cstheme="majorBidi"/>
          <w:sz w:val="24"/>
          <w:szCs w:val="24"/>
        </w:rPr>
        <w:t xml:space="preserve"> Similarly, Course and Trusheim (1988) argued that the increment in R, or for that matter</w:t>
      </w:r>
      <w:r w:rsidR="005E2D82" w:rsidRPr="001F3C5F">
        <w:rPr>
          <w:rFonts w:asciiTheme="majorBidi" w:hAnsiTheme="majorBidi" w:cstheme="majorBidi"/>
          <w:sz w:val="24"/>
          <w:szCs w:val="24"/>
        </w:rPr>
        <w:t xml:space="preserve"> R</w:t>
      </w:r>
      <w:r w:rsidR="00037363" w:rsidRPr="001F3C5F">
        <w:rPr>
          <w:rFonts w:asciiTheme="majorBidi" w:hAnsiTheme="majorBidi" w:cstheme="majorBidi"/>
          <w:sz w:val="24"/>
          <w:szCs w:val="24"/>
        </w:rPr>
        <w:t xml:space="preserve"> </w:t>
      </w:r>
      <w:proofErr w:type="gramStart"/>
      <w:r w:rsidR="005E2D82" w:rsidRPr="001F3C5F">
        <w:rPr>
          <w:rFonts w:asciiTheme="majorBidi" w:hAnsiTheme="majorBidi" w:cstheme="majorBidi"/>
          <w:sz w:val="24"/>
          <w:szCs w:val="24"/>
          <w:vertAlign w:val="superscript"/>
        </w:rPr>
        <w:t>2</w:t>
      </w:r>
      <w:r w:rsidR="005E2D82" w:rsidRPr="001F3C5F">
        <w:rPr>
          <w:rFonts w:asciiTheme="majorBidi" w:hAnsiTheme="majorBidi" w:cstheme="majorBidi"/>
          <w:sz w:val="24"/>
          <w:szCs w:val="24"/>
        </w:rPr>
        <w:t xml:space="preserve"> </w:t>
      </w:r>
      <w:r w:rsidR="00037363" w:rsidRPr="001F3C5F">
        <w:rPr>
          <w:rFonts w:asciiTheme="majorBidi" w:hAnsiTheme="majorBidi" w:cstheme="majorBidi"/>
          <w:sz w:val="24"/>
          <w:szCs w:val="24"/>
        </w:rPr>
        <w:t>,</w:t>
      </w:r>
      <w:proofErr w:type="gramEnd"/>
      <w:r w:rsidR="00037363" w:rsidRPr="001F3C5F">
        <w:rPr>
          <w:rFonts w:asciiTheme="majorBidi" w:hAnsiTheme="majorBidi" w:cstheme="majorBidi"/>
          <w:sz w:val="24"/>
          <w:szCs w:val="24"/>
        </w:rPr>
        <w:t xml:space="preserve"> by adding SAT scores to the regression model is so small as to make the SAT useless.</w:t>
      </w:r>
      <w:r w:rsidR="00C37B27" w:rsidRPr="001F3C5F">
        <w:rPr>
          <w:rFonts w:asciiTheme="majorBidi" w:hAnsiTheme="majorBidi" w:cstheme="majorBidi"/>
          <w:sz w:val="24"/>
          <w:szCs w:val="24"/>
        </w:rPr>
        <w:t xml:space="preserve"> Cimetta and others </w:t>
      </w:r>
      <w:r w:rsidR="00851D8B" w:rsidRPr="001F3C5F">
        <w:rPr>
          <w:rFonts w:asciiTheme="majorBidi" w:hAnsiTheme="majorBidi" w:cstheme="majorBidi"/>
          <w:sz w:val="24"/>
          <w:szCs w:val="24"/>
        </w:rPr>
        <w:t>(2010)</w:t>
      </w:r>
      <w:r w:rsidR="00C37B27" w:rsidRPr="001F3C5F">
        <w:rPr>
          <w:rFonts w:asciiTheme="majorBidi" w:hAnsiTheme="majorBidi" w:cstheme="majorBidi"/>
          <w:sz w:val="24"/>
          <w:szCs w:val="24"/>
        </w:rPr>
        <w:t xml:space="preserve"> indicated that HSPGA and SAT were more important than </w:t>
      </w:r>
      <w:r w:rsidR="00851D8B" w:rsidRPr="001F3C5F">
        <w:rPr>
          <w:rFonts w:asciiTheme="majorBidi" w:hAnsiTheme="majorBidi" w:cstheme="majorBidi"/>
          <w:sz w:val="24"/>
          <w:szCs w:val="24"/>
        </w:rPr>
        <w:t>state standard</w:t>
      </w:r>
      <w:r w:rsidR="00C37B27" w:rsidRPr="001F3C5F">
        <w:rPr>
          <w:rFonts w:asciiTheme="majorBidi" w:hAnsiTheme="majorBidi" w:cstheme="majorBidi"/>
          <w:sz w:val="24"/>
          <w:szCs w:val="24"/>
        </w:rPr>
        <w:t>-based examination.</w:t>
      </w:r>
    </w:p>
    <w:p w:rsidR="007A3F45" w:rsidRPr="001F3C5F" w:rsidRDefault="00C37B27" w:rsidP="007A17E7">
      <w:pPr>
        <w:autoSpaceDE w:val="0"/>
        <w:autoSpaceDN w:val="0"/>
        <w:bidi w:val="0"/>
        <w:adjustRightInd w:val="0"/>
        <w:spacing w:after="0" w:line="240" w:lineRule="auto"/>
        <w:jc w:val="both"/>
        <w:rPr>
          <w:rFonts w:asciiTheme="majorBidi" w:hAnsiTheme="majorBidi" w:cstheme="majorBidi"/>
          <w:sz w:val="24"/>
          <w:szCs w:val="24"/>
        </w:rPr>
      </w:pPr>
      <w:r w:rsidRPr="001F3C5F">
        <w:rPr>
          <w:rFonts w:asciiTheme="majorBidi" w:hAnsiTheme="majorBidi" w:cstheme="majorBidi"/>
          <w:sz w:val="24"/>
          <w:szCs w:val="24"/>
        </w:rPr>
        <w:t xml:space="preserve">Kobrin </w:t>
      </w:r>
      <w:r w:rsidR="00851D8B" w:rsidRPr="001F3C5F">
        <w:rPr>
          <w:rFonts w:asciiTheme="majorBidi" w:hAnsiTheme="majorBidi" w:cstheme="majorBidi"/>
          <w:sz w:val="24"/>
          <w:szCs w:val="24"/>
        </w:rPr>
        <w:t>(2002)</w:t>
      </w:r>
      <w:r w:rsidRPr="001F3C5F">
        <w:rPr>
          <w:rFonts w:asciiTheme="majorBidi" w:hAnsiTheme="majorBidi" w:cstheme="majorBidi"/>
          <w:sz w:val="24"/>
          <w:szCs w:val="24"/>
        </w:rPr>
        <w:t xml:space="preserve"> studied the effect of SAT and HSGPA when they are in contradiction. The </w:t>
      </w:r>
      <w:r w:rsidR="00A93E07" w:rsidRPr="001F3C5F">
        <w:rPr>
          <w:rFonts w:asciiTheme="majorBidi" w:hAnsiTheme="majorBidi" w:cstheme="majorBidi"/>
          <w:sz w:val="24"/>
          <w:szCs w:val="24"/>
        </w:rPr>
        <w:t>findings showed that when SAT score is high, FYGPA is high, regardless of the HS</w:t>
      </w:r>
      <w:r w:rsidR="00EC71FC" w:rsidRPr="001F3C5F">
        <w:rPr>
          <w:rFonts w:asciiTheme="majorBidi" w:hAnsiTheme="majorBidi" w:cstheme="majorBidi"/>
          <w:sz w:val="24"/>
          <w:szCs w:val="24"/>
        </w:rPr>
        <w:t>G</w:t>
      </w:r>
      <w:r w:rsidR="00A93E07" w:rsidRPr="001F3C5F">
        <w:rPr>
          <w:rFonts w:asciiTheme="majorBidi" w:hAnsiTheme="majorBidi" w:cstheme="majorBidi"/>
          <w:sz w:val="24"/>
          <w:szCs w:val="24"/>
        </w:rPr>
        <w:t xml:space="preserve">PA. Kobrin concluded that SAT is more </w:t>
      </w:r>
      <w:r w:rsidR="00851D8B" w:rsidRPr="001F3C5F">
        <w:rPr>
          <w:rFonts w:asciiTheme="majorBidi" w:hAnsiTheme="majorBidi" w:cstheme="majorBidi"/>
          <w:sz w:val="24"/>
          <w:szCs w:val="24"/>
        </w:rPr>
        <w:t>precise predictor</w:t>
      </w:r>
      <w:r w:rsidR="00445401" w:rsidRPr="001F3C5F">
        <w:rPr>
          <w:rFonts w:asciiTheme="majorBidi" w:hAnsiTheme="majorBidi" w:cstheme="majorBidi"/>
          <w:sz w:val="24"/>
          <w:szCs w:val="24"/>
        </w:rPr>
        <w:t xml:space="preserve"> </w:t>
      </w:r>
      <w:r w:rsidR="00851D8B" w:rsidRPr="001F3C5F">
        <w:rPr>
          <w:rFonts w:asciiTheme="majorBidi" w:hAnsiTheme="majorBidi" w:cstheme="majorBidi"/>
          <w:sz w:val="24"/>
          <w:szCs w:val="24"/>
        </w:rPr>
        <w:t>of FYGPA</w:t>
      </w:r>
      <w:r w:rsidR="00A93E07" w:rsidRPr="001F3C5F">
        <w:rPr>
          <w:rFonts w:asciiTheme="majorBidi" w:hAnsiTheme="majorBidi" w:cstheme="majorBidi"/>
          <w:sz w:val="24"/>
          <w:szCs w:val="24"/>
        </w:rPr>
        <w:t xml:space="preserve"> than HSGPA.</w:t>
      </w:r>
      <w:r w:rsidR="00D54E5C" w:rsidRPr="001F3C5F">
        <w:rPr>
          <w:rFonts w:asciiTheme="majorBidi" w:hAnsiTheme="majorBidi" w:cstheme="majorBidi"/>
          <w:sz w:val="24"/>
          <w:szCs w:val="24"/>
        </w:rPr>
        <w:t xml:space="preserve"> </w:t>
      </w:r>
      <w:r w:rsidR="007A3F45" w:rsidRPr="001F3C5F">
        <w:rPr>
          <w:rFonts w:asciiTheme="majorBidi" w:hAnsiTheme="majorBidi" w:cstheme="majorBidi"/>
          <w:sz w:val="24"/>
          <w:szCs w:val="24"/>
        </w:rPr>
        <w:t xml:space="preserve">In </w:t>
      </w:r>
      <w:r w:rsidR="00BE5DDA" w:rsidRPr="001F3C5F">
        <w:rPr>
          <w:rFonts w:asciiTheme="majorBidi" w:hAnsiTheme="majorBidi" w:cstheme="majorBidi"/>
          <w:sz w:val="24"/>
          <w:szCs w:val="24"/>
        </w:rPr>
        <w:t>a</w:t>
      </w:r>
      <w:r w:rsidR="007A3F45" w:rsidRPr="001F3C5F">
        <w:rPr>
          <w:rFonts w:asciiTheme="majorBidi" w:hAnsiTheme="majorBidi" w:cstheme="majorBidi"/>
          <w:sz w:val="24"/>
          <w:szCs w:val="24"/>
        </w:rPr>
        <w:t xml:space="preserve"> study</w:t>
      </w:r>
      <w:r w:rsidR="00BE5DDA" w:rsidRPr="001F3C5F">
        <w:rPr>
          <w:rFonts w:asciiTheme="majorBidi" w:hAnsiTheme="majorBidi" w:cstheme="majorBidi"/>
          <w:sz w:val="24"/>
          <w:szCs w:val="24"/>
        </w:rPr>
        <w:t xml:space="preserve"> by Ramist</w:t>
      </w:r>
      <w:r w:rsidR="007A3F45" w:rsidRPr="001F3C5F">
        <w:rPr>
          <w:rFonts w:asciiTheme="majorBidi" w:hAnsiTheme="majorBidi" w:cstheme="majorBidi"/>
          <w:sz w:val="24"/>
          <w:szCs w:val="24"/>
        </w:rPr>
        <w:t xml:space="preserve">, </w:t>
      </w:r>
      <w:r w:rsidR="00BE5DDA" w:rsidRPr="001F3C5F">
        <w:rPr>
          <w:rFonts w:asciiTheme="majorBidi" w:hAnsiTheme="majorBidi" w:cstheme="majorBidi"/>
          <w:sz w:val="24"/>
          <w:szCs w:val="24"/>
        </w:rPr>
        <w:t>and McCamley-Jenkins (1994) predictive validity of SAT on 45 colleges and universities</w:t>
      </w:r>
      <w:r w:rsidR="007A3F45" w:rsidRPr="001F3C5F">
        <w:rPr>
          <w:rFonts w:asciiTheme="majorBidi" w:hAnsiTheme="majorBidi" w:cstheme="majorBidi"/>
          <w:sz w:val="24"/>
          <w:szCs w:val="24"/>
        </w:rPr>
        <w:t xml:space="preserve"> were examined</w:t>
      </w:r>
      <w:r w:rsidR="00BE5DDA" w:rsidRPr="001F3C5F">
        <w:rPr>
          <w:rFonts w:asciiTheme="majorBidi" w:hAnsiTheme="majorBidi" w:cstheme="majorBidi"/>
          <w:sz w:val="24"/>
          <w:szCs w:val="24"/>
        </w:rPr>
        <w:t xml:space="preserve">. Students were grouped </w:t>
      </w:r>
      <w:r w:rsidR="007A3F45" w:rsidRPr="001F3C5F">
        <w:rPr>
          <w:rFonts w:asciiTheme="majorBidi" w:hAnsiTheme="majorBidi" w:cstheme="majorBidi"/>
          <w:sz w:val="24"/>
          <w:szCs w:val="24"/>
        </w:rPr>
        <w:t>according to</w:t>
      </w:r>
      <w:r w:rsidR="00BE5DDA" w:rsidRPr="001F3C5F">
        <w:rPr>
          <w:rFonts w:asciiTheme="majorBidi" w:hAnsiTheme="majorBidi" w:cstheme="majorBidi"/>
          <w:sz w:val="24"/>
          <w:szCs w:val="24"/>
        </w:rPr>
        <w:t xml:space="preserve">: </w:t>
      </w:r>
      <w:r w:rsidR="007A3F45" w:rsidRPr="001F3C5F">
        <w:rPr>
          <w:rFonts w:asciiTheme="majorBidi" w:hAnsiTheme="majorBidi" w:cstheme="majorBidi"/>
          <w:sz w:val="24"/>
          <w:szCs w:val="24"/>
        </w:rPr>
        <w:t xml:space="preserve">ability level (high, medium, low), </w:t>
      </w:r>
      <w:r w:rsidR="00BE5DDA" w:rsidRPr="001F3C5F">
        <w:rPr>
          <w:rFonts w:asciiTheme="majorBidi" w:hAnsiTheme="majorBidi" w:cstheme="majorBidi"/>
          <w:sz w:val="24"/>
          <w:szCs w:val="24"/>
        </w:rPr>
        <w:t xml:space="preserve">gender, English as best language, </w:t>
      </w:r>
      <w:r w:rsidR="007A3F45" w:rsidRPr="001F3C5F">
        <w:rPr>
          <w:rFonts w:asciiTheme="majorBidi" w:hAnsiTheme="majorBidi" w:cstheme="majorBidi"/>
          <w:sz w:val="24"/>
          <w:szCs w:val="24"/>
        </w:rPr>
        <w:t xml:space="preserve">and </w:t>
      </w:r>
      <w:r w:rsidR="00BE5DDA" w:rsidRPr="001F3C5F">
        <w:rPr>
          <w:rFonts w:asciiTheme="majorBidi" w:hAnsiTheme="majorBidi" w:cstheme="majorBidi"/>
          <w:sz w:val="24"/>
          <w:szCs w:val="24"/>
        </w:rPr>
        <w:t xml:space="preserve">racial/ </w:t>
      </w:r>
      <w:r w:rsidR="007A3F45" w:rsidRPr="001F3C5F">
        <w:rPr>
          <w:rFonts w:asciiTheme="majorBidi" w:hAnsiTheme="majorBidi" w:cstheme="majorBidi"/>
          <w:sz w:val="24"/>
          <w:szCs w:val="24"/>
        </w:rPr>
        <w:t>ethnic group</w:t>
      </w:r>
      <w:r w:rsidR="00BE5DDA" w:rsidRPr="001F3C5F">
        <w:rPr>
          <w:rFonts w:asciiTheme="majorBidi" w:hAnsiTheme="majorBidi" w:cstheme="majorBidi"/>
          <w:sz w:val="24"/>
          <w:szCs w:val="24"/>
        </w:rPr>
        <w:t xml:space="preserve">. They found </w:t>
      </w:r>
      <w:r w:rsidR="007A3F45" w:rsidRPr="001F3C5F">
        <w:rPr>
          <w:rFonts w:asciiTheme="majorBidi" w:hAnsiTheme="majorBidi" w:cstheme="majorBidi"/>
          <w:sz w:val="24"/>
          <w:szCs w:val="24"/>
        </w:rPr>
        <w:t>that For ability levels</w:t>
      </w:r>
      <w:r w:rsidR="00D54E5C" w:rsidRPr="001F3C5F">
        <w:rPr>
          <w:rFonts w:asciiTheme="majorBidi" w:hAnsiTheme="majorBidi" w:cstheme="majorBidi"/>
          <w:sz w:val="24"/>
          <w:szCs w:val="24"/>
        </w:rPr>
        <w:t>,</w:t>
      </w:r>
      <w:r w:rsidR="007A3F45" w:rsidRPr="001F3C5F">
        <w:rPr>
          <w:rFonts w:asciiTheme="majorBidi" w:hAnsiTheme="majorBidi" w:cstheme="majorBidi"/>
          <w:sz w:val="24"/>
          <w:szCs w:val="24"/>
        </w:rPr>
        <w:t xml:space="preserve"> based on SAT scores and high school grade point average (HSGPA), the SAT was more predictive for</w:t>
      </w:r>
      <w:r w:rsidR="00D54E5C" w:rsidRPr="001F3C5F">
        <w:rPr>
          <w:rFonts w:asciiTheme="majorBidi" w:hAnsiTheme="majorBidi" w:cstheme="majorBidi"/>
          <w:sz w:val="24"/>
          <w:szCs w:val="24"/>
        </w:rPr>
        <w:t xml:space="preserve"> the</w:t>
      </w:r>
      <w:r w:rsidR="007A3F45" w:rsidRPr="001F3C5F">
        <w:rPr>
          <w:rFonts w:asciiTheme="majorBidi" w:hAnsiTheme="majorBidi" w:cstheme="majorBidi"/>
          <w:sz w:val="24"/>
          <w:szCs w:val="24"/>
        </w:rPr>
        <w:t xml:space="preserve"> </w:t>
      </w:r>
      <w:r w:rsidR="00D54E5C" w:rsidRPr="001F3C5F">
        <w:rPr>
          <w:rFonts w:asciiTheme="majorBidi" w:hAnsiTheme="majorBidi" w:cstheme="majorBidi"/>
          <w:sz w:val="24"/>
          <w:szCs w:val="24"/>
        </w:rPr>
        <w:t>high ability</w:t>
      </w:r>
      <w:r w:rsidR="007A3F45" w:rsidRPr="001F3C5F">
        <w:rPr>
          <w:rFonts w:asciiTheme="majorBidi" w:hAnsiTheme="majorBidi" w:cstheme="majorBidi"/>
          <w:sz w:val="24"/>
          <w:szCs w:val="24"/>
        </w:rPr>
        <w:t xml:space="preserve"> students</w:t>
      </w:r>
      <w:r w:rsidR="00D54E5C" w:rsidRPr="001F3C5F">
        <w:rPr>
          <w:rFonts w:asciiTheme="majorBidi" w:hAnsiTheme="majorBidi" w:cstheme="majorBidi"/>
          <w:sz w:val="24"/>
          <w:szCs w:val="24"/>
        </w:rPr>
        <w:t xml:space="preserve"> ( r= 0.59 ) than for the low-ability group ( r= 0.43 ). </w:t>
      </w:r>
    </w:p>
    <w:p w:rsidR="00CC6D59" w:rsidRPr="001F3C5F" w:rsidRDefault="0097396C" w:rsidP="007A17E7">
      <w:pPr>
        <w:autoSpaceDE w:val="0"/>
        <w:autoSpaceDN w:val="0"/>
        <w:bidi w:val="0"/>
        <w:adjustRightInd w:val="0"/>
        <w:spacing w:after="0" w:line="240" w:lineRule="auto"/>
        <w:jc w:val="both"/>
        <w:rPr>
          <w:rFonts w:asciiTheme="majorBidi" w:hAnsiTheme="majorBidi" w:cstheme="majorBidi"/>
          <w:sz w:val="24"/>
          <w:szCs w:val="24"/>
        </w:rPr>
      </w:pPr>
      <w:r w:rsidRPr="001F3C5F">
        <w:rPr>
          <w:rFonts w:asciiTheme="majorBidi" w:hAnsiTheme="majorBidi" w:cstheme="majorBidi"/>
          <w:sz w:val="24"/>
          <w:szCs w:val="24"/>
        </w:rPr>
        <w:t>Validity of the GAT has been studied BY the Nationa</w:t>
      </w:r>
      <w:r w:rsidR="00AC5296" w:rsidRPr="001F3C5F">
        <w:rPr>
          <w:rFonts w:asciiTheme="majorBidi" w:hAnsiTheme="majorBidi" w:cstheme="majorBidi"/>
          <w:sz w:val="24"/>
          <w:szCs w:val="24"/>
        </w:rPr>
        <w:t>l</w:t>
      </w:r>
      <w:r w:rsidRPr="001F3C5F">
        <w:rPr>
          <w:rFonts w:asciiTheme="majorBidi" w:hAnsiTheme="majorBidi" w:cstheme="majorBidi"/>
          <w:sz w:val="24"/>
          <w:szCs w:val="24"/>
        </w:rPr>
        <w:t xml:space="preserve"> Center for Assessment in Higher Education </w:t>
      </w:r>
      <w:r w:rsidR="00AC5296" w:rsidRPr="001F3C5F">
        <w:rPr>
          <w:rFonts w:asciiTheme="majorBidi" w:hAnsiTheme="majorBidi" w:cstheme="majorBidi"/>
          <w:sz w:val="24"/>
          <w:szCs w:val="24"/>
        </w:rPr>
        <w:t>(</w:t>
      </w:r>
      <w:r w:rsidRPr="001F3C5F">
        <w:rPr>
          <w:rFonts w:asciiTheme="majorBidi" w:hAnsiTheme="majorBidi" w:cstheme="majorBidi"/>
          <w:sz w:val="24"/>
          <w:szCs w:val="24"/>
        </w:rPr>
        <w:t>NCA</w:t>
      </w:r>
      <w:r w:rsidR="00AC5296" w:rsidRPr="001F3C5F">
        <w:rPr>
          <w:rFonts w:asciiTheme="majorBidi" w:hAnsiTheme="majorBidi" w:cstheme="majorBidi"/>
          <w:sz w:val="24"/>
          <w:szCs w:val="24"/>
        </w:rPr>
        <w:t>). Figure1 summarize the finding of such studies.</w:t>
      </w:r>
      <w:r w:rsidR="00CC6D59" w:rsidRPr="001F3C5F">
        <w:rPr>
          <w:rFonts w:asciiTheme="majorBidi" w:hAnsiTheme="majorBidi" w:cstheme="majorBidi"/>
          <w:sz w:val="24"/>
          <w:szCs w:val="24"/>
        </w:rPr>
        <w:t xml:space="preserve"> It can be seen that GAT correlation with</w:t>
      </w:r>
      <w:r w:rsidR="00B13AB7" w:rsidRPr="001F3C5F">
        <w:rPr>
          <w:rFonts w:asciiTheme="majorBidi" w:hAnsiTheme="majorBidi" w:cstheme="majorBidi"/>
          <w:sz w:val="24"/>
          <w:szCs w:val="24"/>
        </w:rPr>
        <w:t xml:space="preserve"> other measures ranges from 0.51</w:t>
      </w:r>
      <w:r w:rsidR="00CC6D59" w:rsidRPr="001F3C5F">
        <w:rPr>
          <w:rFonts w:asciiTheme="majorBidi" w:hAnsiTheme="majorBidi" w:cstheme="majorBidi"/>
          <w:sz w:val="24"/>
          <w:szCs w:val="24"/>
        </w:rPr>
        <w:t xml:space="preserve"> </w:t>
      </w:r>
      <w:r w:rsidR="00B13AB7" w:rsidRPr="001F3C5F">
        <w:rPr>
          <w:rFonts w:asciiTheme="majorBidi" w:hAnsiTheme="majorBidi" w:cstheme="majorBidi"/>
          <w:sz w:val="24"/>
          <w:szCs w:val="24"/>
        </w:rPr>
        <w:t xml:space="preserve">to 0.72. The correlations with similar tests are moderately high such as the correlation with post- graduate General Aptitude Test (POSTGAT), SAT-M, and Standardized Achievement Admission Test (SAAT). However, correlations with HSPGA, FYGPA, and SAAT are moderate. </w:t>
      </w:r>
      <w:r w:rsidR="00DA26FE" w:rsidRPr="001F3C5F">
        <w:rPr>
          <w:rFonts w:asciiTheme="majorBidi" w:hAnsiTheme="majorBidi" w:cstheme="majorBidi"/>
          <w:sz w:val="24"/>
          <w:szCs w:val="24"/>
        </w:rPr>
        <w:t xml:space="preserve">Correlation with SAT critical reading is </w:t>
      </w:r>
      <w:proofErr w:type="gramStart"/>
      <w:r w:rsidR="00DA26FE" w:rsidRPr="001F3C5F">
        <w:rPr>
          <w:rFonts w:asciiTheme="majorBidi" w:hAnsiTheme="majorBidi" w:cstheme="majorBidi"/>
          <w:sz w:val="24"/>
          <w:szCs w:val="24"/>
        </w:rPr>
        <w:t>reasonable(</w:t>
      </w:r>
      <w:proofErr w:type="gramEnd"/>
      <w:r w:rsidR="00DA26FE" w:rsidRPr="001F3C5F">
        <w:rPr>
          <w:rFonts w:asciiTheme="majorBidi" w:hAnsiTheme="majorBidi" w:cstheme="majorBidi"/>
          <w:sz w:val="24"/>
          <w:szCs w:val="24"/>
        </w:rPr>
        <w:t xml:space="preserve"> NCA report, 2011)</w:t>
      </w:r>
    </w:p>
    <w:p w:rsidR="00CC6D59" w:rsidRPr="001F3C5F" w:rsidRDefault="00CC6D59" w:rsidP="007A17E7">
      <w:pPr>
        <w:autoSpaceDE w:val="0"/>
        <w:autoSpaceDN w:val="0"/>
        <w:bidi w:val="0"/>
        <w:adjustRightInd w:val="0"/>
        <w:spacing w:after="0" w:line="240" w:lineRule="auto"/>
        <w:jc w:val="both"/>
        <w:rPr>
          <w:rFonts w:asciiTheme="majorBidi" w:hAnsiTheme="majorBidi" w:cstheme="majorBidi"/>
          <w:sz w:val="24"/>
          <w:szCs w:val="24"/>
        </w:rPr>
      </w:pPr>
    </w:p>
    <w:p w:rsidR="00CC6D59" w:rsidRPr="001F3C5F" w:rsidRDefault="00CC6D59" w:rsidP="00CC6D59">
      <w:pPr>
        <w:autoSpaceDE w:val="0"/>
        <w:autoSpaceDN w:val="0"/>
        <w:bidi w:val="0"/>
        <w:adjustRightInd w:val="0"/>
        <w:spacing w:after="0" w:line="240" w:lineRule="auto"/>
        <w:rPr>
          <w:rFonts w:asciiTheme="majorBidi" w:hAnsiTheme="majorBidi" w:cstheme="majorBidi"/>
          <w:sz w:val="24"/>
          <w:szCs w:val="24"/>
        </w:rPr>
      </w:pPr>
    </w:p>
    <w:p w:rsidR="0097396C" w:rsidRPr="001F3C5F" w:rsidRDefault="00CC6D59" w:rsidP="00CC6D59">
      <w:pPr>
        <w:autoSpaceDE w:val="0"/>
        <w:autoSpaceDN w:val="0"/>
        <w:bidi w:val="0"/>
        <w:adjustRightInd w:val="0"/>
        <w:spacing w:after="0" w:line="240" w:lineRule="auto"/>
        <w:rPr>
          <w:rFonts w:asciiTheme="majorBidi" w:hAnsiTheme="majorBidi" w:cstheme="majorBidi"/>
          <w:sz w:val="24"/>
          <w:szCs w:val="24"/>
        </w:rPr>
      </w:pPr>
      <w:r w:rsidRPr="001F3C5F">
        <w:rPr>
          <w:rFonts w:asciiTheme="majorBidi" w:hAnsiTheme="majorBidi" w:cstheme="majorBidi"/>
          <w:sz w:val="24"/>
          <w:szCs w:val="24"/>
        </w:rPr>
        <w:t>Figure1: Correlation of the GAT with other measures.</w:t>
      </w:r>
      <w:r w:rsidR="00AC5296" w:rsidRPr="001F3C5F">
        <w:rPr>
          <w:rFonts w:asciiTheme="majorBidi" w:hAnsiTheme="majorBidi" w:cstheme="majorBidi"/>
          <w:sz w:val="24"/>
          <w:szCs w:val="24"/>
        </w:rPr>
        <w:t xml:space="preserve"> </w:t>
      </w:r>
      <w:r w:rsidR="0097396C" w:rsidRPr="001F3C5F">
        <w:rPr>
          <w:rFonts w:asciiTheme="majorBidi" w:hAnsiTheme="majorBidi" w:cstheme="majorBidi"/>
          <w:sz w:val="24"/>
          <w:szCs w:val="24"/>
        </w:rPr>
        <w:t xml:space="preserve"> </w:t>
      </w:r>
    </w:p>
    <w:p w:rsidR="00CC6D59" w:rsidRDefault="00CC6D59" w:rsidP="009A12C3">
      <w:pPr>
        <w:bidi w:val="0"/>
      </w:pPr>
      <w:r>
        <w:rPr>
          <w:noProof/>
        </w:rPr>
        <w:drawing>
          <wp:inline distT="0" distB="0" distL="0" distR="0" wp14:anchorId="543B1B01" wp14:editId="47B1A93A">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6D59" w:rsidRDefault="00CC6D59" w:rsidP="00CC6D59">
      <w:pPr>
        <w:bidi w:val="0"/>
      </w:pPr>
    </w:p>
    <w:p w:rsidR="009A12C3" w:rsidRPr="001F3C5F" w:rsidRDefault="00D54E5C" w:rsidP="007A17E7">
      <w:pPr>
        <w:bidi w:val="0"/>
        <w:jc w:val="both"/>
        <w:rPr>
          <w:rFonts w:asciiTheme="majorBidi" w:hAnsiTheme="majorBidi" w:cstheme="majorBidi"/>
          <w:sz w:val="24"/>
          <w:szCs w:val="24"/>
        </w:rPr>
      </w:pPr>
      <w:r w:rsidRPr="001F3C5F">
        <w:rPr>
          <w:rFonts w:asciiTheme="majorBidi" w:hAnsiTheme="majorBidi" w:cstheme="majorBidi"/>
          <w:sz w:val="24"/>
          <w:szCs w:val="24"/>
        </w:rPr>
        <w:t>However, the importance of GAT admission test over HSGPA or vs. versa ha</w:t>
      </w:r>
      <w:r w:rsidR="009A12C3" w:rsidRPr="001F3C5F">
        <w:rPr>
          <w:rFonts w:asciiTheme="majorBidi" w:hAnsiTheme="majorBidi" w:cstheme="majorBidi"/>
          <w:sz w:val="24"/>
          <w:szCs w:val="24"/>
        </w:rPr>
        <w:t>s</w:t>
      </w:r>
      <w:r w:rsidRPr="001F3C5F">
        <w:rPr>
          <w:rFonts w:asciiTheme="majorBidi" w:hAnsiTheme="majorBidi" w:cstheme="majorBidi"/>
          <w:sz w:val="24"/>
          <w:szCs w:val="24"/>
        </w:rPr>
        <w:t xml:space="preserve"> not been studied in</w:t>
      </w:r>
      <w:r w:rsidR="009A12C3" w:rsidRPr="001F3C5F">
        <w:rPr>
          <w:rFonts w:asciiTheme="majorBidi" w:hAnsiTheme="majorBidi" w:cstheme="majorBidi"/>
          <w:sz w:val="24"/>
          <w:szCs w:val="24"/>
        </w:rPr>
        <w:t xml:space="preserve"> Saudi Arabia. Thus, the purpose of the current study is to assess the importance of GAT in predicting FYGPA. The study aimed to answer the following question: when selecting a high performance students based on HSGPA, does high and low scorers on GAT associated with high and low performance on FYGPA?</w:t>
      </w:r>
    </w:p>
    <w:p w:rsidR="002B518F" w:rsidRDefault="002B518F" w:rsidP="009A12C3">
      <w:pPr>
        <w:bidi w:val="0"/>
        <w:jc w:val="center"/>
        <w:rPr>
          <w:b/>
          <w:bCs/>
          <w:sz w:val="32"/>
          <w:szCs w:val="32"/>
        </w:rPr>
      </w:pPr>
    </w:p>
    <w:p w:rsidR="002B518F" w:rsidRDefault="002B518F" w:rsidP="002B518F">
      <w:pPr>
        <w:bidi w:val="0"/>
        <w:jc w:val="center"/>
        <w:rPr>
          <w:b/>
          <w:bCs/>
          <w:sz w:val="32"/>
          <w:szCs w:val="32"/>
        </w:rPr>
      </w:pPr>
    </w:p>
    <w:p w:rsidR="002B518F" w:rsidRDefault="002B518F" w:rsidP="002B518F">
      <w:pPr>
        <w:bidi w:val="0"/>
        <w:jc w:val="center"/>
        <w:rPr>
          <w:b/>
          <w:bCs/>
          <w:sz w:val="32"/>
          <w:szCs w:val="32"/>
        </w:rPr>
      </w:pPr>
    </w:p>
    <w:p w:rsidR="002B518F" w:rsidRDefault="002B518F" w:rsidP="002B518F">
      <w:pPr>
        <w:bidi w:val="0"/>
        <w:jc w:val="center"/>
        <w:rPr>
          <w:b/>
          <w:bCs/>
          <w:sz w:val="32"/>
          <w:szCs w:val="32"/>
        </w:rPr>
      </w:pPr>
    </w:p>
    <w:p w:rsidR="002B518F" w:rsidRDefault="002B518F" w:rsidP="002B518F">
      <w:pPr>
        <w:bidi w:val="0"/>
        <w:jc w:val="center"/>
        <w:rPr>
          <w:b/>
          <w:bCs/>
          <w:sz w:val="32"/>
          <w:szCs w:val="32"/>
        </w:rPr>
      </w:pPr>
    </w:p>
    <w:p w:rsidR="002B518F" w:rsidRDefault="002B518F" w:rsidP="002B518F">
      <w:pPr>
        <w:bidi w:val="0"/>
        <w:jc w:val="center"/>
        <w:rPr>
          <w:b/>
          <w:bCs/>
          <w:sz w:val="32"/>
          <w:szCs w:val="32"/>
        </w:rPr>
      </w:pPr>
    </w:p>
    <w:p w:rsidR="002B518F" w:rsidRDefault="002B518F" w:rsidP="002B518F">
      <w:pPr>
        <w:bidi w:val="0"/>
        <w:jc w:val="center"/>
        <w:rPr>
          <w:b/>
          <w:bCs/>
          <w:sz w:val="32"/>
          <w:szCs w:val="32"/>
        </w:rPr>
      </w:pPr>
    </w:p>
    <w:p w:rsidR="002B518F" w:rsidRDefault="002B518F" w:rsidP="002B518F">
      <w:pPr>
        <w:bidi w:val="0"/>
        <w:jc w:val="center"/>
        <w:rPr>
          <w:b/>
          <w:bCs/>
          <w:sz w:val="32"/>
          <w:szCs w:val="32"/>
        </w:rPr>
      </w:pPr>
    </w:p>
    <w:p w:rsidR="002B518F" w:rsidRDefault="002B518F" w:rsidP="002B518F">
      <w:pPr>
        <w:bidi w:val="0"/>
        <w:jc w:val="center"/>
        <w:rPr>
          <w:b/>
          <w:bCs/>
          <w:sz w:val="32"/>
          <w:szCs w:val="32"/>
        </w:rPr>
      </w:pPr>
    </w:p>
    <w:p w:rsidR="001F3C5F" w:rsidRDefault="001F3C5F" w:rsidP="001F3C5F">
      <w:pPr>
        <w:bidi w:val="0"/>
        <w:jc w:val="center"/>
        <w:rPr>
          <w:b/>
          <w:bCs/>
          <w:sz w:val="32"/>
          <w:szCs w:val="32"/>
        </w:rPr>
      </w:pPr>
    </w:p>
    <w:p w:rsidR="009A12C3" w:rsidRDefault="009A12C3" w:rsidP="002B518F">
      <w:pPr>
        <w:bidi w:val="0"/>
        <w:jc w:val="center"/>
        <w:rPr>
          <w:b/>
          <w:bCs/>
          <w:sz w:val="32"/>
          <w:szCs w:val="32"/>
        </w:rPr>
      </w:pPr>
      <w:r w:rsidRPr="009A12C3">
        <w:rPr>
          <w:b/>
          <w:bCs/>
          <w:sz w:val="32"/>
          <w:szCs w:val="32"/>
        </w:rPr>
        <w:lastRenderedPageBreak/>
        <w:t>Methods</w:t>
      </w:r>
    </w:p>
    <w:p w:rsidR="009A12C3" w:rsidRPr="001F3C5F" w:rsidRDefault="00456B31" w:rsidP="009A12C3">
      <w:pPr>
        <w:bidi w:val="0"/>
        <w:rPr>
          <w:rFonts w:asciiTheme="majorBidi" w:hAnsiTheme="majorBidi" w:cstheme="majorBidi"/>
          <w:sz w:val="24"/>
          <w:szCs w:val="24"/>
        </w:rPr>
      </w:pPr>
      <w:r w:rsidRPr="001F3C5F">
        <w:rPr>
          <w:rFonts w:asciiTheme="majorBidi" w:hAnsiTheme="majorBidi" w:cstheme="majorBidi"/>
          <w:sz w:val="24"/>
          <w:szCs w:val="24"/>
        </w:rPr>
        <w:t>Data set:</w:t>
      </w:r>
    </w:p>
    <w:p w:rsidR="00456B31" w:rsidRPr="001F3C5F" w:rsidRDefault="00456B31" w:rsidP="007A17E7">
      <w:pPr>
        <w:bidi w:val="0"/>
        <w:jc w:val="both"/>
        <w:rPr>
          <w:rFonts w:asciiTheme="majorBidi" w:hAnsiTheme="majorBidi" w:cstheme="majorBidi"/>
          <w:sz w:val="24"/>
          <w:szCs w:val="24"/>
        </w:rPr>
      </w:pPr>
      <w:r w:rsidRPr="001F3C5F">
        <w:rPr>
          <w:rFonts w:asciiTheme="majorBidi" w:hAnsiTheme="majorBidi" w:cstheme="majorBidi"/>
          <w:sz w:val="24"/>
          <w:szCs w:val="24"/>
        </w:rPr>
        <w:t>The present study has used a data set from the data base of the National Center for Assessment in Higher Education (NCA). These data were gathered regular</w:t>
      </w:r>
      <w:r w:rsidR="00284D55" w:rsidRPr="001F3C5F">
        <w:rPr>
          <w:rFonts w:asciiTheme="majorBidi" w:hAnsiTheme="majorBidi" w:cstheme="majorBidi"/>
          <w:sz w:val="24"/>
          <w:szCs w:val="24"/>
        </w:rPr>
        <w:t>l</w:t>
      </w:r>
      <w:r w:rsidRPr="001F3C5F">
        <w:rPr>
          <w:rFonts w:asciiTheme="majorBidi" w:hAnsiTheme="majorBidi" w:cstheme="majorBidi"/>
          <w:sz w:val="24"/>
          <w:szCs w:val="24"/>
        </w:rPr>
        <w:t xml:space="preserve">y </w:t>
      </w:r>
      <w:r w:rsidR="00284D55" w:rsidRPr="001F3C5F">
        <w:rPr>
          <w:rFonts w:asciiTheme="majorBidi" w:hAnsiTheme="majorBidi" w:cstheme="majorBidi"/>
          <w:sz w:val="24"/>
          <w:szCs w:val="24"/>
        </w:rPr>
        <w:t>form universit</w:t>
      </w:r>
      <w:r w:rsidR="00D97997" w:rsidRPr="001F3C5F">
        <w:rPr>
          <w:rFonts w:asciiTheme="majorBidi" w:hAnsiTheme="majorBidi" w:cstheme="majorBidi"/>
          <w:sz w:val="24"/>
          <w:szCs w:val="24"/>
        </w:rPr>
        <w:t>ies</w:t>
      </w:r>
      <w:r w:rsidR="00284D55" w:rsidRPr="001F3C5F">
        <w:rPr>
          <w:rFonts w:asciiTheme="majorBidi" w:hAnsiTheme="majorBidi" w:cstheme="majorBidi"/>
          <w:sz w:val="24"/>
          <w:szCs w:val="24"/>
        </w:rPr>
        <w:t xml:space="preserve"> after one year from admission to study students</w:t>
      </w:r>
      <w:r w:rsidR="002B4927" w:rsidRPr="001F3C5F">
        <w:rPr>
          <w:rFonts w:asciiTheme="majorBidi" w:hAnsiTheme="majorBidi" w:cstheme="majorBidi"/>
          <w:sz w:val="24"/>
          <w:szCs w:val="24"/>
        </w:rPr>
        <w:t>'</w:t>
      </w:r>
      <w:r w:rsidR="00284D55" w:rsidRPr="001F3C5F">
        <w:rPr>
          <w:rFonts w:asciiTheme="majorBidi" w:hAnsiTheme="majorBidi" w:cstheme="majorBidi"/>
          <w:sz w:val="24"/>
          <w:szCs w:val="24"/>
        </w:rPr>
        <w:t xml:space="preserve"> performance at </w:t>
      </w:r>
      <w:r w:rsidR="00D97997" w:rsidRPr="001F3C5F">
        <w:rPr>
          <w:rFonts w:asciiTheme="majorBidi" w:hAnsiTheme="majorBidi" w:cstheme="majorBidi"/>
          <w:sz w:val="24"/>
          <w:szCs w:val="24"/>
        </w:rPr>
        <w:t>each one</w:t>
      </w:r>
      <w:r w:rsidR="00284D55" w:rsidRPr="001F3C5F">
        <w:rPr>
          <w:rFonts w:asciiTheme="majorBidi" w:hAnsiTheme="majorBidi" w:cstheme="majorBidi"/>
          <w:sz w:val="24"/>
          <w:szCs w:val="24"/>
        </w:rPr>
        <w:t xml:space="preserve">. Science and art major students who have been admitted to </w:t>
      </w:r>
      <w:r w:rsidR="006D110F" w:rsidRPr="001F3C5F">
        <w:rPr>
          <w:rFonts w:asciiTheme="majorBidi" w:hAnsiTheme="majorBidi" w:cstheme="majorBidi"/>
          <w:sz w:val="24"/>
          <w:szCs w:val="24"/>
        </w:rPr>
        <w:t>seven</w:t>
      </w:r>
      <w:r w:rsidR="00284D55" w:rsidRPr="001F3C5F">
        <w:rPr>
          <w:rFonts w:asciiTheme="majorBidi" w:hAnsiTheme="majorBidi" w:cstheme="majorBidi"/>
          <w:sz w:val="24"/>
          <w:szCs w:val="24"/>
        </w:rPr>
        <w:t xml:space="preserve"> major universities were included in the study. </w:t>
      </w:r>
      <w:r w:rsidR="00D97997" w:rsidRPr="001F3C5F">
        <w:rPr>
          <w:rFonts w:asciiTheme="majorBidi" w:hAnsiTheme="majorBidi" w:cstheme="majorBidi"/>
          <w:sz w:val="24"/>
          <w:szCs w:val="24"/>
        </w:rPr>
        <w:t>Thus, a</w:t>
      </w:r>
      <w:r w:rsidR="00284D55" w:rsidRPr="001F3C5F">
        <w:rPr>
          <w:rFonts w:asciiTheme="majorBidi" w:hAnsiTheme="majorBidi" w:cstheme="majorBidi"/>
          <w:sz w:val="24"/>
          <w:szCs w:val="24"/>
        </w:rPr>
        <w:t xml:space="preserve"> total of 48476 student</w:t>
      </w:r>
      <w:r w:rsidR="006D110F" w:rsidRPr="001F3C5F">
        <w:rPr>
          <w:rFonts w:asciiTheme="majorBidi" w:hAnsiTheme="majorBidi" w:cstheme="majorBidi"/>
          <w:sz w:val="24"/>
          <w:szCs w:val="24"/>
        </w:rPr>
        <w:t>'</w:t>
      </w:r>
      <w:r w:rsidR="00284D55" w:rsidRPr="001F3C5F">
        <w:rPr>
          <w:rFonts w:asciiTheme="majorBidi" w:hAnsiTheme="majorBidi" w:cstheme="majorBidi"/>
          <w:sz w:val="24"/>
          <w:szCs w:val="24"/>
        </w:rPr>
        <w:t>s records</w:t>
      </w:r>
      <w:r w:rsidR="00D97997" w:rsidRPr="001F3C5F">
        <w:rPr>
          <w:rFonts w:asciiTheme="majorBidi" w:hAnsiTheme="majorBidi" w:cstheme="majorBidi"/>
          <w:sz w:val="24"/>
          <w:szCs w:val="24"/>
        </w:rPr>
        <w:t xml:space="preserve"> </w:t>
      </w:r>
      <w:r w:rsidR="006D110F" w:rsidRPr="001F3C5F">
        <w:rPr>
          <w:rFonts w:asciiTheme="majorBidi" w:hAnsiTheme="majorBidi" w:cstheme="majorBidi"/>
          <w:sz w:val="24"/>
          <w:szCs w:val="24"/>
        </w:rPr>
        <w:t xml:space="preserve">enrolling in seven major universities </w:t>
      </w:r>
      <w:r w:rsidR="00284D55" w:rsidRPr="001F3C5F">
        <w:rPr>
          <w:rFonts w:asciiTheme="majorBidi" w:hAnsiTheme="majorBidi" w:cstheme="majorBidi"/>
          <w:sz w:val="24"/>
          <w:szCs w:val="24"/>
        </w:rPr>
        <w:t xml:space="preserve">were included in the study. </w:t>
      </w:r>
    </w:p>
    <w:p w:rsidR="006D110F" w:rsidRPr="001F3C5F" w:rsidRDefault="006D110F" w:rsidP="007A17E7">
      <w:pPr>
        <w:bidi w:val="0"/>
        <w:jc w:val="both"/>
        <w:rPr>
          <w:rFonts w:asciiTheme="majorBidi" w:hAnsiTheme="majorBidi" w:cstheme="majorBidi"/>
          <w:sz w:val="24"/>
          <w:szCs w:val="24"/>
        </w:rPr>
      </w:pPr>
      <w:r w:rsidRPr="001F3C5F">
        <w:rPr>
          <w:rFonts w:asciiTheme="majorBidi" w:hAnsiTheme="majorBidi" w:cstheme="majorBidi"/>
          <w:sz w:val="24"/>
          <w:szCs w:val="24"/>
        </w:rPr>
        <w:t>GAT Admission Test:</w:t>
      </w:r>
    </w:p>
    <w:p w:rsidR="002B4927" w:rsidRPr="001F3C5F" w:rsidRDefault="002B4927" w:rsidP="002B4927">
      <w:pPr>
        <w:pStyle w:val="Pa2"/>
        <w:jc w:val="both"/>
        <w:rPr>
          <w:rStyle w:val="A2"/>
          <w:rFonts w:asciiTheme="majorBidi" w:hAnsiTheme="majorBidi" w:cstheme="majorBidi"/>
          <w:b/>
          <w:bCs/>
          <w:color w:val="auto"/>
          <w:sz w:val="24"/>
          <w:szCs w:val="24"/>
        </w:rPr>
      </w:pPr>
      <w:r w:rsidRPr="001F3C5F">
        <w:rPr>
          <w:rStyle w:val="A2"/>
          <w:rFonts w:asciiTheme="majorBidi" w:hAnsiTheme="majorBidi" w:cstheme="majorBidi"/>
          <w:color w:val="auto"/>
          <w:sz w:val="24"/>
          <w:szCs w:val="24"/>
        </w:rPr>
        <w:t>The General Aptitude Test (GAT) was developed to satisfy the need for a standardized measurement of scholastic aptitude for use by institutions of higher learning. The original GAT Arabic Version has been in use for several years as one of the major tools in selecting those who will be admitted to universities and colleges throughout the Kingdom as well as in some other Arab countries. The test is offered in Arabic and English</w:t>
      </w:r>
      <w:r w:rsidRPr="001F3C5F">
        <w:rPr>
          <w:rStyle w:val="A2"/>
          <w:rFonts w:asciiTheme="majorBidi" w:hAnsiTheme="majorBidi" w:cstheme="majorBidi"/>
          <w:b/>
          <w:bCs/>
          <w:color w:val="auto"/>
          <w:sz w:val="24"/>
          <w:szCs w:val="24"/>
        </w:rPr>
        <w:t>.</w:t>
      </w:r>
    </w:p>
    <w:p w:rsidR="002B4927" w:rsidRPr="001F3C5F" w:rsidRDefault="002B4927" w:rsidP="002B4927">
      <w:pPr>
        <w:pStyle w:val="Pa2"/>
        <w:jc w:val="both"/>
        <w:rPr>
          <w:rFonts w:asciiTheme="majorBidi" w:hAnsiTheme="majorBidi" w:cstheme="majorBidi"/>
          <w:b/>
          <w:bCs/>
        </w:rPr>
      </w:pPr>
      <w:r w:rsidRPr="001F3C5F">
        <w:rPr>
          <w:rStyle w:val="A2"/>
          <w:rFonts w:asciiTheme="majorBidi" w:hAnsiTheme="majorBidi" w:cstheme="majorBidi"/>
          <w:color w:val="auto"/>
          <w:sz w:val="24"/>
          <w:szCs w:val="24"/>
        </w:rPr>
        <w:t>However, the GAT uses language and mathematics to measure the following abilities:</w:t>
      </w:r>
    </w:p>
    <w:p w:rsidR="002B4927" w:rsidRPr="001F3C5F" w:rsidRDefault="002B4927" w:rsidP="002B4927">
      <w:pPr>
        <w:pStyle w:val="Pa3"/>
        <w:ind w:left="720" w:hanging="360"/>
        <w:jc w:val="both"/>
        <w:rPr>
          <w:rFonts w:asciiTheme="majorBidi" w:hAnsiTheme="majorBidi" w:cstheme="majorBidi"/>
        </w:rPr>
      </w:pPr>
      <w:r w:rsidRPr="001F3C5F">
        <w:rPr>
          <w:rStyle w:val="A2"/>
          <w:rFonts w:asciiTheme="majorBidi" w:hAnsiTheme="majorBidi" w:cstheme="majorBidi"/>
          <w:color w:val="auto"/>
          <w:sz w:val="24"/>
          <w:szCs w:val="24"/>
        </w:rPr>
        <w:t>1. Reading comprehension</w:t>
      </w:r>
    </w:p>
    <w:p w:rsidR="002B4927" w:rsidRPr="001F3C5F" w:rsidRDefault="002B4927" w:rsidP="002B4927">
      <w:pPr>
        <w:pStyle w:val="Pa3"/>
        <w:ind w:left="720" w:hanging="360"/>
        <w:jc w:val="both"/>
        <w:rPr>
          <w:rFonts w:asciiTheme="majorBidi" w:hAnsiTheme="majorBidi" w:cstheme="majorBidi"/>
        </w:rPr>
      </w:pPr>
      <w:r w:rsidRPr="001F3C5F">
        <w:rPr>
          <w:rStyle w:val="A2"/>
          <w:rFonts w:asciiTheme="majorBidi" w:hAnsiTheme="majorBidi" w:cstheme="majorBidi"/>
          <w:color w:val="auto"/>
          <w:sz w:val="24"/>
          <w:szCs w:val="24"/>
        </w:rPr>
        <w:t xml:space="preserve">2. Logical relations </w:t>
      </w:r>
    </w:p>
    <w:p w:rsidR="002B4927" w:rsidRPr="001F3C5F" w:rsidRDefault="002B4927" w:rsidP="002B4927">
      <w:pPr>
        <w:pStyle w:val="Pa3"/>
        <w:ind w:left="720" w:hanging="360"/>
        <w:jc w:val="both"/>
        <w:rPr>
          <w:rFonts w:asciiTheme="majorBidi" w:hAnsiTheme="majorBidi" w:cstheme="majorBidi"/>
        </w:rPr>
      </w:pPr>
      <w:r w:rsidRPr="001F3C5F">
        <w:rPr>
          <w:rStyle w:val="A2"/>
          <w:rFonts w:asciiTheme="majorBidi" w:hAnsiTheme="majorBidi" w:cstheme="majorBidi"/>
          <w:color w:val="auto"/>
          <w:sz w:val="24"/>
          <w:szCs w:val="24"/>
        </w:rPr>
        <w:t xml:space="preserve">3. Problem-solving behavior </w:t>
      </w:r>
    </w:p>
    <w:p w:rsidR="002B4927" w:rsidRPr="001F3C5F" w:rsidRDefault="002B4927" w:rsidP="002B4927">
      <w:pPr>
        <w:pStyle w:val="Pa3"/>
        <w:ind w:left="720" w:hanging="360"/>
        <w:jc w:val="both"/>
        <w:rPr>
          <w:rFonts w:asciiTheme="majorBidi" w:hAnsiTheme="majorBidi" w:cstheme="majorBidi"/>
        </w:rPr>
      </w:pPr>
      <w:r w:rsidRPr="001F3C5F">
        <w:rPr>
          <w:rStyle w:val="A2"/>
          <w:rFonts w:asciiTheme="majorBidi" w:hAnsiTheme="majorBidi" w:cstheme="majorBidi"/>
          <w:color w:val="auto"/>
          <w:sz w:val="24"/>
          <w:szCs w:val="24"/>
        </w:rPr>
        <w:t>4. Inferential abilities</w:t>
      </w:r>
    </w:p>
    <w:p w:rsidR="002B4927" w:rsidRPr="001F3C5F" w:rsidRDefault="002B4927" w:rsidP="002B4927">
      <w:pPr>
        <w:pStyle w:val="Pa3"/>
        <w:ind w:left="720" w:hanging="360"/>
        <w:jc w:val="both"/>
        <w:rPr>
          <w:rStyle w:val="A2"/>
          <w:rFonts w:asciiTheme="majorBidi" w:hAnsiTheme="majorBidi" w:cstheme="majorBidi"/>
          <w:color w:val="auto"/>
          <w:sz w:val="24"/>
          <w:szCs w:val="24"/>
        </w:rPr>
      </w:pPr>
      <w:r w:rsidRPr="001F3C5F">
        <w:rPr>
          <w:rStyle w:val="A2"/>
          <w:rFonts w:asciiTheme="majorBidi" w:hAnsiTheme="majorBidi" w:cstheme="majorBidi"/>
          <w:color w:val="auto"/>
          <w:sz w:val="24"/>
          <w:szCs w:val="24"/>
        </w:rPr>
        <w:t>5. Inductional abilities</w:t>
      </w:r>
    </w:p>
    <w:p w:rsidR="002B4927" w:rsidRPr="001F3C5F" w:rsidRDefault="002B4927" w:rsidP="007A17E7">
      <w:pPr>
        <w:pStyle w:val="Pa2"/>
        <w:jc w:val="both"/>
        <w:rPr>
          <w:rStyle w:val="A2"/>
          <w:rFonts w:asciiTheme="majorBidi" w:hAnsiTheme="majorBidi" w:cstheme="majorBidi"/>
          <w:color w:val="auto"/>
          <w:sz w:val="24"/>
          <w:szCs w:val="24"/>
        </w:rPr>
      </w:pPr>
      <w:r w:rsidRPr="001F3C5F">
        <w:rPr>
          <w:rStyle w:val="A2"/>
          <w:rFonts w:asciiTheme="majorBidi" w:hAnsiTheme="majorBidi" w:cstheme="majorBidi"/>
          <w:color w:val="auto"/>
          <w:sz w:val="24"/>
          <w:szCs w:val="24"/>
        </w:rPr>
        <w:t xml:space="preserve">All questions are multiple </w:t>
      </w:r>
      <w:r w:rsidR="00851D8B" w:rsidRPr="001F3C5F">
        <w:rPr>
          <w:rStyle w:val="A2"/>
          <w:rFonts w:asciiTheme="majorBidi" w:hAnsiTheme="majorBidi" w:cstheme="majorBidi"/>
          <w:color w:val="auto"/>
          <w:sz w:val="24"/>
          <w:szCs w:val="24"/>
        </w:rPr>
        <w:t>choices</w:t>
      </w:r>
      <w:r w:rsidRPr="001F3C5F">
        <w:rPr>
          <w:rStyle w:val="A2"/>
          <w:rFonts w:asciiTheme="majorBidi" w:hAnsiTheme="majorBidi" w:cstheme="majorBidi"/>
          <w:color w:val="auto"/>
          <w:sz w:val="24"/>
          <w:szCs w:val="24"/>
        </w:rPr>
        <w:t>, with four possible answers marked as A, B, C, and D. The test-takers select the best answer and mark their choice on the answer sheet. The answer sheets are then machine scored.</w:t>
      </w:r>
    </w:p>
    <w:p w:rsidR="002B4927" w:rsidRPr="001F3C5F" w:rsidRDefault="002B4927" w:rsidP="007A17E7">
      <w:pPr>
        <w:pStyle w:val="Pa2"/>
        <w:jc w:val="both"/>
        <w:rPr>
          <w:rFonts w:asciiTheme="majorBidi" w:hAnsiTheme="majorBidi" w:cstheme="majorBidi"/>
        </w:rPr>
      </w:pPr>
      <w:r w:rsidRPr="001F3C5F">
        <w:rPr>
          <w:rStyle w:val="A2"/>
          <w:rFonts w:asciiTheme="majorBidi" w:hAnsiTheme="majorBidi" w:cstheme="majorBidi"/>
          <w:color w:val="auto"/>
          <w:sz w:val="24"/>
          <w:szCs w:val="24"/>
        </w:rPr>
        <w:t xml:space="preserve">Some of the questions in the GAT are non-scorable items and are not counted toward the score of the test-taker. Rather, they are included as trial items which are used in future tests. </w:t>
      </w:r>
    </w:p>
    <w:p w:rsidR="002B4927" w:rsidRPr="001F3C5F" w:rsidRDefault="002B4927" w:rsidP="007A17E7">
      <w:pPr>
        <w:pStyle w:val="Default"/>
        <w:jc w:val="both"/>
        <w:rPr>
          <w:rFonts w:asciiTheme="majorBidi" w:hAnsiTheme="majorBidi" w:cstheme="majorBidi"/>
        </w:rPr>
      </w:pPr>
      <w:r w:rsidRPr="001F3C5F">
        <w:rPr>
          <w:rStyle w:val="A2"/>
          <w:rFonts w:asciiTheme="majorBidi" w:hAnsiTheme="majorBidi" w:cstheme="majorBidi"/>
          <w:color w:val="auto"/>
          <w:sz w:val="24"/>
          <w:szCs w:val="24"/>
        </w:rPr>
        <w:t>The test-takers’ scores are calculated only on the 120 questions of the actual GAT test; 68 of these questions are verbal and 52 are quantitative. To enhance security there are 5 forms of each test. The overall duration of the test is 3 hours.</w:t>
      </w:r>
    </w:p>
    <w:p w:rsidR="00B1106D" w:rsidRPr="001F3C5F" w:rsidRDefault="00B1106D" w:rsidP="007A17E7">
      <w:pPr>
        <w:pStyle w:val="Pa2"/>
        <w:jc w:val="both"/>
        <w:rPr>
          <w:rFonts w:asciiTheme="majorBidi" w:hAnsiTheme="majorBidi" w:cstheme="majorBidi"/>
        </w:rPr>
      </w:pPr>
      <w:r w:rsidRPr="001F3C5F">
        <w:rPr>
          <w:rStyle w:val="A2"/>
          <w:rFonts w:asciiTheme="majorBidi" w:hAnsiTheme="majorBidi" w:cstheme="majorBidi"/>
          <w:color w:val="auto"/>
          <w:sz w:val="24"/>
          <w:szCs w:val="24"/>
        </w:rPr>
        <w:t>The Center follows established scientific methods in preparing its tests and follows standards that insure quality and accuracy. The formation process of the test can be summarized as follows:</w:t>
      </w:r>
    </w:p>
    <w:p w:rsidR="00B1106D" w:rsidRPr="001F3C5F" w:rsidRDefault="00B1106D" w:rsidP="007A17E7">
      <w:pPr>
        <w:pStyle w:val="Pa5"/>
        <w:ind w:left="360" w:hanging="360"/>
        <w:jc w:val="both"/>
        <w:rPr>
          <w:rFonts w:asciiTheme="majorBidi" w:hAnsiTheme="majorBidi" w:cstheme="majorBidi"/>
        </w:rPr>
      </w:pPr>
      <w:r w:rsidRPr="001F3C5F">
        <w:rPr>
          <w:rStyle w:val="A2"/>
          <w:rFonts w:asciiTheme="majorBidi" w:hAnsiTheme="majorBidi" w:cstheme="majorBidi"/>
          <w:color w:val="auto"/>
          <w:sz w:val="24"/>
          <w:szCs w:val="24"/>
        </w:rPr>
        <w:t>1. Scientific Preparation:</w:t>
      </w:r>
      <w:r w:rsidRPr="001F3C5F">
        <w:rPr>
          <w:rStyle w:val="A2"/>
          <w:rFonts w:asciiTheme="majorBidi" w:hAnsiTheme="majorBidi" w:cstheme="majorBidi"/>
          <w:b/>
          <w:bCs/>
          <w:color w:val="auto"/>
          <w:sz w:val="24"/>
          <w:szCs w:val="24"/>
        </w:rPr>
        <w:t xml:space="preserve"> </w:t>
      </w:r>
      <w:r w:rsidRPr="001F3C5F">
        <w:rPr>
          <w:rStyle w:val="A2"/>
          <w:rFonts w:asciiTheme="majorBidi" w:hAnsiTheme="majorBidi" w:cstheme="majorBidi"/>
          <w:color w:val="auto"/>
          <w:sz w:val="24"/>
          <w:szCs w:val="24"/>
        </w:rPr>
        <w:t>The Center uses only qualified professionals in Verbal, Math, and IQ item writing as well as professionals in Psychometric Testing. It holds several regularly scheduled four-day workshops in test objectives and item writing, depending on need.</w:t>
      </w:r>
    </w:p>
    <w:p w:rsidR="00B1106D" w:rsidRPr="001F3C5F" w:rsidRDefault="00B1106D" w:rsidP="007A17E7">
      <w:pPr>
        <w:pStyle w:val="Pa5"/>
        <w:ind w:left="360" w:hanging="360"/>
        <w:jc w:val="both"/>
        <w:rPr>
          <w:rFonts w:asciiTheme="majorBidi" w:hAnsiTheme="majorBidi" w:cstheme="majorBidi"/>
        </w:rPr>
      </w:pPr>
      <w:r w:rsidRPr="001F3C5F">
        <w:rPr>
          <w:rStyle w:val="A2"/>
          <w:rFonts w:asciiTheme="majorBidi" w:hAnsiTheme="majorBidi" w:cstheme="majorBidi"/>
          <w:color w:val="auto"/>
          <w:sz w:val="24"/>
          <w:szCs w:val="24"/>
        </w:rPr>
        <w:t>2. Item Writing:</w:t>
      </w:r>
      <w:r w:rsidRPr="001F3C5F">
        <w:rPr>
          <w:rStyle w:val="A2"/>
          <w:rFonts w:asciiTheme="majorBidi" w:hAnsiTheme="majorBidi" w:cstheme="majorBidi"/>
          <w:b/>
          <w:bCs/>
          <w:color w:val="auto"/>
          <w:sz w:val="24"/>
          <w:szCs w:val="24"/>
        </w:rPr>
        <w:t xml:space="preserve"> </w:t>
      </w:r>
      <w:r w:rsidRPr="001F3C5F">
        <w:rPr>
          <w:rStyle w:val="A2"/>
          <w:rFonts w:asciiTheme="majorBidi" w:hAnsiTheme="majorBidi" w:cstheme="majorBidi"/>
          <w:color w:val="auto"/>
          <w:sz w:val="24"/>
          <w:szCs w:val="24"/>
        </w:rPr>
        <w:t>The Center asks the workshop participants to write questions for the various test components according to the assigned requirements and objectives of the test.</w:t>
      </w:r>
    </w:p>
    <w:p w:rsidR="00B1106D" w:rsidRPr="001F3C5F" w:rsidRDefault="00B1106D" w:rsidP="007A17E7">
      <w:pPr>
        <w:pStyle w:val="Pa5"/>
        <w:ind w:left="360" w:hanging="360"/>
        <w:jc w:val="both"/>
        <w:rPr>
          <w:rFonts w:asciiTheme="majorBidi" w:hAnsiTheme="majorBidi" w:cstheme="majorBidi"/>
        </w:rPr>
      </w:pPr>
      <w:r w:rsidRPr="001F3C5F">
        <w:rPr>
          <w:rStyle w:val="A2"/>
          <w:rFonts w:asciiTheme="majorBidi" w:hAnsiTheme="majorBidi" w:cstheme="majorBidi"/>
          <w:color w:val="auto"/>
          <w:sz w:val="24"/>
          <w:szCs w:val="24"/>
        </w:rPr>
        <w:t>3. Registration:</w:t>
      </w:r>
      <w:r w:rsidRPr="001F3C5F">
        <w:rPr>
          <w:rStyle w:val="A2"/>
          <w:rFonts w:asciiTheme="majorBidi" w:hAnsiTheme="majorBidi" w:cstheme="majorBidi"/>
          <w:b/>
          <w:bCs/>
          <w:color w:val="auto"/>
          <w:sz w:val="24"/>
          <w:szCs w:val="24"/>
        </w:rPr>
        <w:t xml:space="preserve"> </w:t>
      </w:r>
      <w:r w:rsidRPr="001F3C5F">
        <w:rPr>
          <w:rStyle w:val="A2"/>
          <w:rFonts w:asciiTheme="majorBidi" w:hAnsiTheme="majorBidi" w:cstheme="majorBidi"/>
          <w:color w:val="auto"/>
          <w:sz w:val="24"/>
          <w:szCs w:val="24"/>
        </w:rPr>
        <w:t>When items are sent to the Center, each item is assigned a special code number that remains with it in the item bank, whether or not the item is actually used. Likewise, each item writer is also given a code number in order to insure anonymity and avoid any kind of personal bias.</w:t>
      </w:r>
    </w:p>
    <w:p w:rsidR="00B1106D" w:rsidRPr="001F3C5F" w:rsidRDefault="00B1106D" w:rsidP="007A17E7">
      <w:pPr>
        <w:pStyle w:val="Pa5"/>
        <w:ind w:left="360" w:hanging="360"/>
        <w:jc w:val="both"/>
        <w:rPr>
          <w:rFonts w:asciiTheme="majorBidi" w:hAnsiTheme="majorBidi" w:cstheme="majorBidi"/>
        </w:rPr>
      </w:pPr>
      <w:r w:rsidRPr="001F3C5F">
        <w:rPr>
          <w:rStyle w:val="A2"/>
          <w:rFonts w:asciiTheme="majorBidi" w:hAnsiTheme="majorBidi" w:cstheme="majorBidi"/>
          <w:color w:val="auto"/>
          <w:sz w:val="24"/>
          <w:szCs w:val="24"/>
        </w:rPr>
        <w:lastRenderedPageBreak/>
        <w:t>4. Reviewing:</w:t>
      </w:r>
      <w:r w:rsidRPr="001F3C5F">
        <w:rPr>
          <w:rStyle w:val="A2"/>
          <w:rFonts w:asciiTheme="majorBidi" w:hAnsiTheme="majorBidi" w:cstheme="majorBidi"/>
          <w:b/>
          <w:bCs/>
          <w:color w:val="auto"/>
          <w:sz w:val="24"/>
          <w:szCs w:val="24"/>
        </w:rPr>
        <w:t xml:space="preserve"> </w:t>
      </w:r>
      <w:r w:rsidRPr="001F3C5F">
        <w:rPr>
          <w:rStyle w:val="A2"/>
          <w:rFonts w:asciiTheme="majorBidi" w:hAnsiTheme="majorBidi" w:cstheme="majorBidi"/>
          <w:color w:val="auto"/>
          <w:sz w:val="24"/>
          <w:szCs w:val="24"/>
        </w:rPr>
        <w:t xml:space="preserve">With anonymity of the item writer assured, each item is reviewed by a committee which consists of three members: (1) a field specialist, (2) a specialist in measurement and (3) a neutral person who may be an advocate for the test-taker or the society at large. The Reviewing Committee scrutinizes each item for: content, domain, </w:t>
      </w:r>
      <w:r w:rsidR="00851D8B" w:rsidRPr="001F3C5F">
        <w:rPr>
          <w:rStyle w:val="A2"/>
          <w:rFonts w:asciiTheme="majorBidi" w:hAnsiTheme="majorBidi" w:cstheme="majorBidi"/>
          <w:color w:val="auto"/>
          <w:sz w:val="24"/>
          <w:szCs w:val="24"/>
        </w:rPr>
        <w:t>and bias</w:t>
      </w:r>
      <w:r w:rsidRPr="001F3C5F">
        <w:rPr>
          <w:rStyle w:val="A2"/>
          <w:rFonts w:asciiTheme="majorBidi" w:hAnsiTheme="majorBidi" w:cstheme="majorBidi"/>
          <w:color w:val="auto"/>
          <w:sz w:val="24"/>
          <w:szCs w:val="24"/>
        </w:rPr>
        <w:t xml:space="preserve"> towards sex or region, difficulty, creativity, suitability of each stem and/or choices. When the item is selected for use in a test, it is reviewed for a second time to insure accuracy and adherence to the test requirements.</w:t>
      </w:r>
    </w:p>
    <w:p w:rsidR="00B1106D" w:rsidRPr="001F3C5F" w:rsidRDefault="00B1106D" w:rsidP="007A17E7">
      <w:pPr>
        <w:pStyle w:val="Pa5"/>
        <w:ind w:left="360" w:hanging="360"/>
        <w:jc w:val="both"/>
        <w:rPr>
          <w:rFonts w:asciiTheme="majorBidi" w:hAnsiTheme="majorBidi" w:cstheme="majorBidi"/>
        </w:rPr>
      </w:pPr>
      <w:r w:rsidRPr="001F3C5F">
        <w:rPr>
          <w:rStyle w:val="A2"/>
          <w:rFonts w:asciiTheme="majorBidi" w:hAnsiTheme="majorBidi" w:cstheme="majorBidi"/>
          <w:color w:val="auto"/>
          <w:sz w:val="24"/>
          <w:szCs w:val="24"/>
        </w:rPr>
        <w:t>5. Trial Items:</w:t>
      </w:r>
      <w:r w:rsidRPr="001F3C5F">
        <w:rPr>
          <w:rStyle w:val="A2"/>
          <w:rFonts w:asciiTheme="majorBidi" w:hAnsiTheme="majorBidi" w:cstheme="majorBidi"/>
          <w:b/>
          <w:bCs/>
          <w:color w:val="auto"/>
          <w:sz w:val="24"/>
          <w:szCs w:val="24"/>
        </w:rPr>
        <w:t xml:space="preserve"> </w:t>
      </w:r>
      <w:r w:rsidRPr="001F3C5F">
        <w:rPr>
          <w:rStyle w:val="A2"/>
          <w:rFonts w:asciiTheme="majorBidi" w:hAnsiTheme="majorBidi" w:cstheme="majorBidi"/>
          <w:color w:val="auto"/>
          <w:sz w:val="24"/>
          <w:szCs w:val="24"/>
        </w:rPr>
        <w:t>Several items are incorporated within a test as try-out items. Test-takers are not aware of which items are in this category. Only the real items in the test are scored for the test-takers.</w:t>
      </w:r>
    </w:p>
    <w:p w:rsidR="00B1106D" w:rsidRPr="001F3C5F" w:rsidRDefault="00B1106D" w:rsidP="007A17E7">
      <w:pPr>
        <w:pStyle w:val="Pa5"/>
        <w:ind w:left="360" w:hanging="360"/>
        <w:jc w:val="both"/>
        <w:rPr>
          <w:rFonts w:asciiTheme="majorBidi" w:hAnsiTheme="majorBidi" w:cstheme="majorBidi"/>
        </w:rPr>
      </w:pPr>
      <w:r w:rsidRPr="001F3C5F">
        <w:rPr>
          <w:rStyle w:val="A2"/>
          <w:rFonts w:asciiTheme="majorBidi" w:hAnsiTheme="majorBidi" w:cstheme="majorBidi"/>
          <w:color w:val="auto"/>
          <w:sz w:val="24"/>
          <w:szCs w:val="24"/>
        </w:rPr>
        <w:t>6. Analysis:</w:t>
      </w:r>
      <w:r w:rsidRPr="001F3C5F">
        <w:rPr>
          <w:rStyle w:val="A2"/>
          <w:rFonts w:asciiTheme="majorBidi" w:hAnsiTheme="majorBidi" w:cstheme="majorBidi"/>
          <w:b/>
          <w:bCs/>
          <w:color w:val="auto"/>
          <w:sz w:val="24"/>
          <w:szCs w:val="24"/>
        </w:rPr>
        <w:t xml:space="preserve"> </w:t>
      </w:r>
      <w:r w:rsidRPr="001F3C5F">
        <w:rPr>
          <w:rStyle w:val="A2"/>
          <w:rFonts w:asciiTheme="majorBidi" w:hAnsiTheme="majorBidi" w:cstheme="majorBidi"/>
          <w:color w:val="auto"/>
          <w:sz w:val="24"/>
          <w:szCs w:val="24"/>
        </w:rPr>
        <w:t>All try-out items are statistically analyzed and reviewed. Items that show good statistical parameters are then stored in the item bank for future tests. The bad try-outs are revised and tested again or discarded if not correctable.</w:t>
      </w:r>
    </w:p>
    <w:p w:rsidR="006D110F" w:rsidRPr="001F3C5F" w:rsidRDefault="00B1106D" w:rsidP="007A17E7">
      <w:pPr>
        <w:pStyle w:val="Pa5"/>
        <w:numPr>
          <w:ilvl w:val="0"/>
          <w:numId w:val="5"/>
        </w:numPr>
        <w:ind w:left="284" w:hanging="284"/>
        <w:jc w:val="both"/>
        <w:rPr>
          <w:rFonts w:asciiTheme="majorBidi" w:hAnsiTheme="majorBidi" w:cstheme="majorBidi"/>
        </w:rPr>
      </w:pPr>
      <w:r w:rsidRPr="001F3C5F">
        <w:rPr>
          <w:rStyle w:val="A2"/>
          <w:rFonts w:asciiTheme="majorBidi" w:hAnsiTheme="majorBidi" w:cstheme="majorBidi"/>
          <w:color w:val="auto"/>
          <w:sz w:val="24"/>
          <w:szCs w:val="24"/>
        </w:rPr>
        <w:t xml:space="preserve">Test </w:t>
      </w:r>
      <w:r w:rsidR="00851D8B" w:rsidRPr="001F3C5F">
        <w:rPr>
          <w:rStyle w:val="A2"/>
          <w:rFonts w:asciiTheme="majorBidi" w:hAnsiTheme="majorBidi" w:cstheme="majorBidi"/>
          <w:color w:val="auto"/>
          <w:sz w:val="24"/>
          <w:szCs w:val="24"/>
        </w:rPr>
        <w:t>Formation: In</w:t>
      </w:r>
      <w:r w:rsidRPr="001F3C5F">
        <w:rPr>
          <w:rStyle w:val="A2"/>
          <w:rFonts w:asciiTheme="majorBidi" w:hAnsiTheme="majorBidi" w:cstheme="majorBidi"/>
          <w:color w:val="auto"/>
          <w:sz w:val="24"/>
          <w:szCs w:val="24"/>
        </w:rPr>
        <w:t xml:space="preserve"> order to insure security, the actual test in its final shape, including the trial items, is used to generate alternate forms. All items that form the test are arranged randomly. Care is taken that each section has different ideas and difficulty levels. The objective is to obtain equally balanced forms with ascending difficulty in each section, thus insuring that the score obtained reflects the real level of the test-takers. Finally, tests are printed in booklets that contain general instructions as well as specific instructions for each section. Example questions and how to answer them are on the back cover page of the test booklet.</w:t>
      </w:r>
    </w:p>
    <w:p w:rsidR="00693D56" w:rsidRPr="001F3C5F" w:rsidRDefault="00693D56" w:rsidP="007A17E7">
      <w:pPr>
        <w:pStyle w:val="Pa2"/>
        <w:numPr>
          <w:ilvl w:val="0"/>
          <w:numId w:val="5"/>
        </w:numPr>
        <w:ind w:left="284" w:hanging="284"/>
        <w:jc w:val="both"/>
        <w:rPr>
          <w:rFonts w:asciiTheme="majorBidi" w:hAnsiTheme="majorBidi" w:cstheme="majorBidi"/>
        </w:rPr>
      </w:pPr>
      <w:r w:rsidRPr="001F3C5F">
        <w:rPr>
          <w:rStyle w:val="A2"/>
          <w:rFonts w:asciiTheme="majorBidi" w:hAnsiTheme="majorBidi" w:cstheme="majorBidi"/>
          <w:color w:val="auto"/>
          <w:sz w:val="24"/>
          <w:szCs w:val="24"/>
        </w:rPr>
        <w:t>Every time the test is given, the reliability of the test is calculated. It has been found that the reliability coefficient has never been less than 0.91. Parallel form correlation between any two different versions of the test is not less than 0.88 if the test is given within three months.</w:t>
      </w:r>
    </w:p>
    <w:p w:rsidR="00911796" w:rsidRPr="001F3C5F" w:rsidRDefault="00911796" w:rsidP="007A17E7">
      <w:pPr>
        <w:pStyle w:val="Pa2"/>
        <w:numPr>
          <w:ilvl w:val="0"/>
          <w:numId w:val="5"/>
        </w:numPr>
        <w:ind w:left="284" w:hanging="284"/>
        <w:jc w:val="both"/>
        <w:rPr>
          <w:rStyle w:val="A2"/>
          <w:rFonts w:asciiTheme="majorBidi" w:hAnsiTheme="majorBidi" w:cstheme="majorBidi"/>
          <w:color w:val="auto"/>
          <w:sz w:val="24"/>
          <w:szCs w:val="24"/>
        </w:rPr>
      </w:pPr>
      <w:r w:rsidRPr="001F3C5F">
        <w:rPr>
          <w:rStyle w:val="A2"/>
          <w:rFonts w:asciiTheme="majorBidi" w:hAnsiTheme="majorBidi" w:cstheme="majorBidi"/>
          <w:color w:val="auto"/>
          <w:sz w:val="24"/>
          <w:szCs w:val="24"/>
        </w:rPr>
        <w:t>The GAT mean is set as 65 and a standard deviation as10.</w:t>
      </w:r>
    </w:p>
    <w:p w:rsidR="007A17E7" w:rsidRPr="001F3C5F" w:rsidRDefault="00693D56" w:rsidP="007A17E7">
      <w:pPr>
        <w:bidi w:val="0"/>
        <w:ind w:left="284" w:firstLine="284"/>
        <w:jc w:val="both"/>
        <w:rPr>
          <w:rFonts w:asciiTheme="majorBidi" w:hAnsiTheme="majorBidi" w:cstheme="majorBidi"/>
          <w:sz w:val="24"/>
          <w:szCs w:val="24"/>
        </w:rPr>
      </w:pPr>
      <w:r w:rsidRPr="001F3C5F">
        <w:rPr>
          <w:rStyle w:val="A2"/>
          <w:rFonts w:asciiTheme="majorBidi" w:hAnsiTheme="majorBidi" w:cstheme="majorBidi"/>
          <w:color w:val="auto"/>
          <w:sz w:val="24"/>
          <w:szCs w:val="24"/>
        </w:rPr>
        <w:t>As for the validity of the test, the Center makes sure that test items are not biased to a particular region. Also, test predictive validity is checked every year for all students who take the test. At the universities the optimal weight for both the test and the high school grades is studied with regression analysis; concurrent validity between the test and HSGPA is also calculated. The value of the correlation is 0.56. Also, the correlation between the standardized achievement test (SAAT) developed by the Center and the GAT is 0.68. Thus, all indicators suggest that GAT is a valid measure and its predictive validity when combined with high school grades is reasonable. Howev</w:t>
      </w:r>
      <w:r w:rsidR="00911796" w:rsidRPr="001F3C5F">
        <w:rPr>
          <w:rStyle w:val="A2"/>
          <w:rFonts w:asciiTheme="majorBidi" w:hAnsiTheme="majorBidi" w:cstheme="majorBidi"/>
          <w:color w:val="auto"/>
          <w:sz w:val="24"/>
          <w:szCs w:val="24"/>
        </w:rPr>
        <w:t>er, the test is more predictive</w:t>
      </w:r>
      <w:r w:rsidR="00CC3901" w:rsidRPr="001F3C5F">
        <w:rPr>
          <w:rStyle w:val="A2"/>
          <w:rFonts w:asciiTheme="majorBidi" w:hAnsiTheme="majorBidi" w:cstheme="majorBidi"/>
          <w:color w:val="auto"/>
          <w:sz w:val="24"/>
          <w:szCs w:val="24"/>
        </w:rPr>
        <w:t xml:space="preserve"> of university performance </w:t>
      </w:r>
      <w:r w:rsidRPr="001F3C5F">
        <w:rPr>
          <w:rStyle w:val="A2"/>
          <w:rFonts w:asciiTheme="majorBidi" w:hAnsiTheme="majorBidi" w:cstheme="majorBidi"/>
          <w:color w:val="auto"/>
          <w:sz w:val="24"/>
          <w:szCs w:val="24"/>
        </w:rPr>
        <w:t>than HSGPA.</w:t>
      </w:r>
    </w:p>
    <w:p w:rsidR="007A17E7" w:rsidRPr="001F3C5F" w:rsidRDefault="007A17E7" w:rsidP="007A17E7">
      <w:pPr>
        <w:bidi w:val="0"/>
        <w:ind w:left="284" w:hanging="284"/>
        <w:jc w:val="both"/>
        <w:rPr>
          <w:rFonts w:asciiTheme="majorBidi" w:hAnsiTheme="majorBidi" w:cstheme="majorBidi"/>
          <w:b/>
          <w:bCs/>
          <w:sz w:val="24"/>
          <w:szCs w:val="24"/>
        </w:rPr>
      </w:pPr>
      <w:r w:rsidRPr="001F3C5F">
        <w:rPr>
          <w:rFonts w:asciiTheme="majorBidi" w:hAnsiTheme="majorBidi" w:cstheme="majorBidi"/>
          <w:b/>
          <w:bCs/>
          <w:sz w:val="24"/>
          <w:szCs w:val="24"/>
        </w:rPr>
        <w:t>Definition of terms:</w:t>
      </w:r>
    </w:p>
    <w:p w:rsidR="007A17E7" w:rsidRPr="001F3C5F" w:rsidRDefault="007A17E7" w:rsidP="007A17E7">
      <w:pPr>
        <w:bidi w:val="0"/>
        <w:ind w:left="284" w:hanging="284"/>
        <w:jc w:val="both"/>
        <w:rPr>
          <w:rFonts w:asciiTheme="majorBidi" w:hAnsiTheme="majorBidi" w:cstheme="majorBidi"/>
          <w:sz w:val="24"/>
          <w:szCs w:val="24"/>
        </w:rPr>
      </w:pPr>
      <w:r w:rsidRPr="001F3C5F">
        <w:rPr>
          <w:rFonts w:asciiTheme="majorBidi" w:hAnsiTheme="majorBidi" w:cstheme="majorBidi"/>
          <w:sz w:val="24"/>
          <w:szCs w:val="24"/>
        </w:rPr>
        <w:t>HSGPA: IT is an accumulative score of 11</w:t>
      </w:r>
      <w:r w:rsidRPr="001F3C5F">
        <w:rPr>
          <w:rFonts w:asciiTheme="majorBidi" w:hAnsiTheme="majorBidi" w:cstheme="majorBidi"/>
          <w:sz w:val="24"/>
          <w:szCs w:val="24"/>
          <w:vertAlign w:val="superscript"/>
        </w:rPr>
        <w:t>th</w:t>
      </w:r>
      <w:r w:rsidRPr="001F3C5F">
        <w:rPr>
          <w:rFonts w:asciiTheme="majorBidi" w:hAnsiTheme="majorBidi" w:cstheme="majorBidi"/>
          <w:sz w:val="24"/>
          <w:szCs w:val="24"/>
        </w:rPr>
        <w:t xml:space="preserve"> and 12</w:t>
      </w:r>
      <w:r w:rsidRPr="001F3C5F">
        <w:rPr>
          <w:rFonts w:asciiTheme="majorBidi" w:hAnsiTheme="majorBidi" w:cstheme="majorBidi"/>
          <w:sz w:val="24"/>
          <w:szCs w:val="24"/>
          <w:vertAlign w:val="superscript"/>
        </w:rPr>
        <w:t>th</w:t>
      </w:r>
      <w:r w:rsidRPr="001F3C5F">
        <w:rPr>
          <w:rFonts w:asciiTheme="majorBidi" w:hAnsiTheme="majorBidi" w:cstheme="majorBidi"/>
          <w:sz w:val="24"/>
          <w:szCs w:val="24"/>
        </w:rPr>
        <w:t xml:space="preserve"> grades summative report presented as a percentage.</w:t>
      </w:r>
    </w:p>
    <w:p w:rsidR="007A17E7" w:rsidRPr="001F3C5F" w:rsidRDefault="007A17E7" w:rsidP="007A17E7">
      <w:pPr>
        <w:bidi w:val="0"/>
        <w:ind w:left="284" w:hanging="284"/>
        <w:jc w:val="both"/>
        <w:rPr>
          <w:rFonts w:asciiTheme="majorBidi" w:hAnsiTheme="majorBidi" w:cstheme="majorBidi"/>
          <w:sz w:val="24"/>
          <w:szCs w:val="24"/>
        </w:rPr>
      </w:pPr>
      <w:r w:rsidRPr="001F3C5F">
        <w:rPr>
          <w:rFonts w:asciiTheme="majorBidi" w:hAnsiTheme="majorBidi" w:cstheme="majorBidi"/>
          <w:sz w:val="24"/>
          <w:szCs w:val="24"/>
        </w:rPr>
        <w:t>FYGPA: It is a scale ranging from 1 as an indication of failure to 5 as an indication of excellence.</w:t>
      </w:r>
    </w:p>
    <w:p w:rsidR="001F3C5F" w:rsidRDefault="001F3C5F" w:rsidP="00693D56">
      <w:pPr>
        <w:pStyle w:val="Default"/>
        <w:rPr>
          <w:rFonts w:asciiTheme="majorBidi" w:hAnsiTheme="majorBidi" w:cstheme="majorBidi"/>
        </w:rPr>
      </w:pPr>
    </w:p>
    <w:p w:rsidR="001F3C5F" w:rsidRDefault="001F3C5F" w:rsidP="00693D56">
      <w:pPr>
        <w:pStyle w:val="Default"/>
        <w:rPr>
          <w:rFonts w:asciiTheme="majorBidi" w:hAnsiTheme="majorBidi" w:cstheme="majorBidi"/>
        </w:rPr>
      </w:pPr>
    </w:p>
    <w:p w:rsidR="001F3C5F" w:rsidRDefault="001F3C5F" w:rsidP="00693D56">
      <w:pPr>
        <w:pStyle w:val="Default"/>
        <w:rPr>
          <w:rFonts w:asciiTheme="majorBidi" w:hAnsiTheme="majorBidi" w:cstheme="majorBidi"/>
        </w:rPr>
      </w:pPr>
    </w:p>
    <w:p w:rsidR="00693D56" w:rsidRPr="001F3C5F" w:rsidRDefault="002F1EEF" w:rsidP="00693D56">
      <w:pPr>
        <w:pStyle w:val="Default"/>
        <w:rPr>
          <w:rFonts w:asciiTheme="majorBidi" w:hAnsiTheme="majorBidi" w:cstheme="majorBidi"/>
        </w:rPr>
      </w:pPr>
      <w:r w:rsidRPr="001F3C5F">
        <w:rPr>
          <w:rFonts w:asciiTheme="majorBidi" w:hAnsiTheme="majorBidi" w:cstheme="majorBidi"/>
        </w:rPr>
        <w:lastRenderedPageBreak/>
        <w:t>Data Analysis:</w:t>
      </w:r>
    </w:p>
    <w:p w:rsidR="00377A04" w:rsidRPr="001F3C5F" w:rsidRDefault="00495798" w:rsidP="00377A04">
      <w:pPr>
        <w:bidi w:val="0"/>
        <w:rPr>
          <w:rFonts w:asciiTheme="majorBidi" w:eastAsia="Times New Roman" w:hAnsiTheme="majorBidi" w:cstheme="majorBidi"/>
          <w:color w:val="000000"/>
          <w:sz w:val="24"/>
          <w:szCs w:val="24"/>
        </w:rPr>
      </w:pPr>
      <w:r w:rsidRPr="001F3C5F">
        <w:rPr>
          <w:rFonts w:asciiTheme="majorBidi" w:hAnsiTheme="majorBidi" w:cstheme="majorBidi"/>
          <w:sz w:val="24"/>
          <w:szCs w:val="24"/>
        </w:rPr>
        <w:t>Initial data poll contain</w:t>
      </w:r>
      <w:r w:rsidR="00377A04" w:rsidRPr="001F3C5F">
        <w:rPr>
          <w:rFonts w:asciiTheme="majorBidi" w:hAnsiTheme="majorBidi" w:cstheme="majorBidi"/>
          <w:sz w:val="24"/>
          <w:szCs w:val="24"/>
        </w:rPr>
        <w:t>s</w:t>
      </w:r>
      <w:r w:rsidRPr="001F3C5F">
        <w:rPr>
          <w:rFonts w:asciiTheme="majorBidi" w:hAnsiTheme="majorBidi" w:cstheme="majorBidi"/>
          <w:sz w:val="24"/>
          <w:szCs w:val="24"/>
        </w:rPr>
        <w:t xml:space="preserve"> 48467 student records. </w:t>
      </w:r>
      <w:r w:rsidR="00377A04" w:rsidRPr="001F3C5F">
        <w:rPr>
          <w:rFonts w:asciiTheme="majorBidi" w:hAnsiTheme="majorBidi" w:cstheme="majorBidi"/>
          <w:sz w:val="24"/>
          <w:szCs w:val="24"/>
        </w:rPr>
        <w:t>B</w:t>
      </w:r>
      <w:r w:rsidRPr="001F3C5F">
        <w:rPr>
          <w:rFonts w:asciiTheme="majorBidi" w:hAnsiTheme="majorBidi" w:cstheme="majorBidi"/>
          <w:sz w:val="24"/>
          <w:szCs w:val="24"/>
        </w:rPr>
        <w:t>ecause our target poll is the records of students who got 95 or more out of a hundred in high school</w:t>
      </w:r>
      <w:r w:rsidR="00377A04" w:rsidRPr="001F3C5F">
        <w:rPr>
          <w:rFonts w:asciiTheme="majorBidi" w:hAnsiTheme="majorBidi" w:cstheme="majorBidi"/>
          <w:sz w:val="24"/>
          <w:szCs w:val="24"/>
        </w:rPr>
        <w:t>,</w:t>
      </w:r>
      <w:r w:rsidRPr="001F3C5F">
        <w:rPr>
          <w:rFonts w:asciiTheme="majorBidi" w:hAnsiTheme="majorBidi" w:cstheme="majorBidi"/>
          <w:sz w:val="24"/>
          <w:szCs w:val="24"/>
        </w:rPr>
        <w:t xml:space="preserve"> </w:t>
      </w:r>
      <w:r w:rsidR="00377A04" w:rsidRPr="001F3C5F">
        <w:rPr>
          <w:rFonts w:asciiTheme="majorBidi" w:hAnsiTheme="majorBidi" w:cstheme="majorBidi"/>
          <w:sz w:val="24"/>
          <w:szCs w:val="24"/>
        </w:rPr>
        <w:t>t</w:t>
      </w:r>
      <w:r w:rsidRPr="001F3C5F">
        <w:rPr>
          <w:rFonts w:asciiTheme="majorBidi" w:hAnsiTheme="majorBidi" w:cstheme="majorBidi"/>
          <w:sz w:val="24"/>
          <w:szCs w:val="24"/>
        </w:rPr>
        <w:t>he number of records satisfying this cond</w:t>
      </w:r>
      <w:r w:rsidR="00377A04" w:rsidRPr="001F3C5F">
        <w:rPr>
          <w:rFonts w:asciiTheme="majorBidi" w:hAnsiTheme="majorBidi" w:cstheme="majorBidi"/>
          <w:sz w:val="24"/>
          <w:szCs w:val="24"/>
        </w:rPr>
        <w:t>ition was</w:t>
      </w:r>
      <w:r w:rsidRPr="001F3C5F">
        <w:rPr>
          <w:rFonts w:asciiTheme="majorBidi" w:hAnsiTheme="majorBidi" w:cstheme="majorBidi"/>
          <w:sz w:val="24"/>
          <w:szCs w:val="24"/>
        </w:rPr>
        <w:t xml:space="preserve"> 40087</w:t>
      </w:r>
      <w:r w:rsidRPr="001F3C5F">
        <w:rPr>
          <w:rFonts w:asciiTheme="majorBidi" w:eastAsia="Times New Roman" w:hAnsiTheme="majorBidi" w:cstheme="majorBidi"/>
          <w:color w:val="000000"/>
          <w:sz w:val="24"/>
          <w:szCs w:val="24"/>
        </w:rPr>
        <w:t>.</w:t>
      </w:r>
    </w:p>
    <w:p w:rsidR="002F1EEF" w:rsidRPr="001F3C5F" w:rsidRDefault="00377A04" w:rsidP="00D97997">
      <w:pPr>
        <w:bidi w:val="0"/>
        <w:rPr>
          <w:rFonts w:asciiTheme="majorBidi" w:hAnsiTheme="majorBidi" w:cstheme="majorBidi"/>
          <w:sz w:val="24"/>
          <w:szCs w:val="24"/>
        </w:rPr>
      </w:pPr>
      <w:r w:rsidRPr="001F3C5F">
        <w:rPr>
          <w:rFonts w:asciiTheme="majorBidi" w:hAnsiTheme="majorBidi" w:cstheme="majorBidi"/>
          <w:sz w:val="24"/>
          <w:szCs w:val="24"/>
        </w:rPr>
        <w:t>T-test was used to investigate differences between mean FYGPA of high and low scorers in GAT. Graphical representation</w:t>
      </w:r>
      <w:r w:rsidR="00D97997" w:rsidRPr="001F3C5F">
        <w:rPr>
          <w:rFonts w:asciiTheme="majorBidi" w:hAnsiTheme="majorBidi" w:cstheme="majorBidi"/>
          <w:sz w:val="24"/>
          <w:szCs w:val="24"/>
        </w:rPr>
        <w:t>s</w:t>
      </w:r>
      <w:r w:rsidRPr="001F3C5F">
        <w:rPr>
          <w:rFonts w:asciiTheme="majorBidi" w:hAnsiTheme="majorBidi" w:cstheme="majorBidi"/>
          <w:sz w:val="24"/>
          <w:szCs w:val="24"/>
        </w:rPr>
        <w:t xml:space="preserve"> of the relation between scores in the studied variables </w:t>
      </w:r>
      <w:r w:rsidR="00D97997" w:rsidRPr="001F3C5F">
        <w:rPr>
          <w:rFonts w:asciiTheme="majorBidi" w:hAnsiTheme="majorBidi" w:cstheme="majorBidi"/>
          <w:sz w:val="24"/>
          <w:szCs w:val="24"/>
        </w:rPr>
        <w:t>are</w:t>
      </w:r>
      <w:r w:rsidRPr="001F3C5F">
        <w:rPr>
          <w:rFonts w:asciiTheme="majorBidi" w:hAnsiTheme="majorBidi" w:cstheme="majorBidi"/>
          <w:sz w:val="24"/>
          <w:szCs w:val="24"/>
        </w:rPr>
        <w:t xml:space="preserve"> used.</w:t>
      </w:r>
    </w:p>
    <w:p w:rsidR="00D97997" w:rsidRPr="001F3C5F" w:rsidRDefault="00D97997" w:rsidP="00D97997">
      <w:pPr>
        <w:bidi w:val="0"/>
        <w:rPr>
          <w:rFonts w:asciiTheme="majorBidi" w:eastAsia="Times New Roman" w:hAnsiTheme="majorBidi" w:cstheme="majorBidi"/>
          <w:color w:val="000000"/>
          <w:sz w:val="24"/>
          <w:szCs w:val="24"/>
        </w:rPr>
      </w:pPr>
    </w:p>
    <w:p w:rsidR="00377A04" w:rsidRPr="00D97997" w:rsidRDefault="00D97997" w:rsidP="00D97997">
      <w:pPr>
        <w:bidi w:val="0"/>
        <w:jc w:val="center"/>
        <w:rPr>
          <w:rFonts w:ascii="Arial" w:eastAsia="Times New Roman" w:hAnsi="Arial" w:cs="Arial"/>
          <w:color w:val="000000"/>
          <w:sz w:val="32"/>
          <w:szCs w:val="32"/>
        </w:rPr>
      </w:pPr>
      <w:r w:rsidRPr="00D97997">
        <w:rPr>
          <w:rFonts w:ascii="Arial" w:eastAsia="Times New Roman" w:hAnsi="Arial" w:cs="Arial"/>
          <w:color w:val="000000"/>
          <w:sz w:val="32"/>
          <w:szCs w:val="32"/>
        </w:rPr>
        <w:t>Results</w:t>
      </w:r>
    </w:p>
    <w:p w:rsidR="00D97997" w:rsidRDefault="00D97997" w:rsidP="00377A04">
      <w:pPr>
        <w:pStyle w:val="Default"/>
      </w:pPr>
    </w:p>
    <w:p w:rsidR="00D97997" w:rsidRPr="001F3C5F" w:rsidRDefault="00D97997" w:rsidP="00377A04">
      <w:pPr>
        <w:pStyle w:val="Default"/>
        <w:rPr>
          <w:rFonts w:asciiTheme="majorBidi" w:hAnsiTheme="majorBidi" w:cstheme="majorBidi"/>
        </w:rPr>
      </w:pPr>
    </w:p>
    <w:p w:rsidR="00DD0B9A" w:rsidRPr="001F3C5F" w:rsidRDefault="00D97997" w:rsidP="007A17E7">
      <w:pPr>
        <w:pStyle w:val="Default"/>
        <w:jc w:val="both"/>
        <w:rPr>
          <w:rFonts w:asciiTheme="majorBidi" w:hAnsiTheme="majorBidi" w:cstheme="majorBidi"/>
        </w:rPr>
      </w:pPr>
      <w:r w:rsidRPr="001F3C5F">
        <w:rPr>
          <w:rFonts w:asciiTheme="majorBidi" w:hAnsiTheme="majorBidi" w:cstheme="majorBidi"/>
        </w:rPr>
        <w:t>Descriptive statistics of the data are showing in table 1 for the seven universities.</w:t>
      </w:r>
      <w:r w:rsidR="00CF493A" w:rsidRPr="001F3C5F">
        <w:rPr>
          <w:rFonts w:asciiTheme="majorBidi" w:hAnsiTheme="majorBidi" w:cstheme="majorBidi"/>
        </w:rPr>
        <w:t xml:space="preserve"> As can be seen, the admitted student has a GAT mean (72.54) which is better than the national average of 65. However, GAT average score is highest for KFUPM followed by TU and KAU. KFUPM does not admit student who has a GAT less than 70. This may explain the high average of KFUPM. </w:t>
      </w:r>
    </w:p>
    <w:p w:rsidR="00D97997" w:rsidRPr="001F3C5F" w:rsidRDefault="00DD0B9A" w:rsidP="007A17E7">
      <w:pPr>
        <w:pStyle w:val="Default"/>
        <w:jc w:val="both"/>
        <w:rPr>
          <w:rFonts w:asciiTheme="majorBidi" w:hAnsiTheme="majorBidi" w:cstheme="majorBidi"/>
        </w:rPr>
      </w:pPr>
      <w:r w:rsidRPr="001F3C5F">
        <w:rPr>
          <w:rFonts w:asciiTheme="majorBidi" w:hAnsiTheme="majorBidi" w:cstheme="majorBidi"/>
        </w:rPr>
        <w:t xml:space="preserve">The HSGPA average for the selected students is 89.42 which </w:t>
      </w:r>
      <w:r w:rsidR="00851D8B" w:rsidRPr="001F3C5F">
        <w:rPr>
          <w:rFonts w:asciiTheme="majorBidi" w:hAnsiTheme="majorBidi" w:cstheme="majorBidi"/>
        </w:rPr>
        <w:t>are</w:t>
      </w:r>
      <w:r w:rsidRPr="001F3C5F">
        <w:rPr>
          <w:rFonts w:asciiTheme="majorBidi" w:hAnsiTheme="majorBidi" w:cstheme="majorBidi"/>
        </w:rPr>
        <w:t xml:space="preserve"> not far from the national average of 85.30. However, the highest average is, again, obtained by KFUPM (96.73) followed by TU and KSU.</w:t>
      </w:r>
      <w:r w:rsidR="000F2217" w:rsidRPr="001F3C5F">
        <w:rPr>
          <w:rFonts w:asciiTheme="majorBidi" w:hAnsiTheme="majorBidi" w:cstheme="majorBidi"/>
        </w:rPr>
        <w:t xml:space="preserve"> Taibah University got the highest FYGPA </w:t>
      </w:r>
      <w:r w:rsidR="00851D8B" w:rsidRPr="001F3C5F">
        <w:rPr>
          <w:rFonts w:asciiTheme="majorBidi" w:hAnsiTheme="majorBidi" w:cstheme="majorBidi"/>
        </w:rPr>
        <w:t>(4.25)</w:t>
      </w:r>
      <w:r w:rsidR="000F2217" w:rsidRPr="001F3C5F">
        <w:rPr>
          <w:rFonts w:asciiTheme="majorBidi" w:hAnsiTheme="majorBidi" w:cstheme="majorBidi"/>
        </w:rPr>
        <w:t>. The high average may be due to small selected group coupled with stringent selection criteria.</w:t>
      </w:r>
    </w:p>
    <w:p w:rsidR="00D97997" w:rsidRPr="001F3C5F" w:rsidRDefault="00CF493A" w:rsidP="007A17E7">
      <w:pPr>
        <w:pStyle w:val="Default"/>
        <w:jc w:val="both"/>
        <w:rPr>
          <w:rFonts w:asciiTheme="majorBidi" w:hAnsiTheme="majorBidi" w:cstheme="majorBidi"/>
        </w:rPr>
      </w:pPr>
      <w:r w:rsidRPr="001F3C5F">
        <w:rPr>
          <w:rFonts w:asciiTheme="majorBidi" w:hAnsiTheme="majorBidi" w:cstheme="majorBidi"/>
        </w:rPr>
        <w:t>However, range-restriction is evident in KFUPM to a great degree and to a lesser degree in KAU and IU.</w:t>
      </w:r>
    </w:p>
    <w:p w:rsidR="00D97997" w:rsidRPr="001F3C5F" w:rsidRDefault="00D97997" w:rsidP="007A17E7">
      <w:pPr>
        <w:pStyle w:val="Default"/>
        <w:jc w:val="both"/>
        <w:rPr>
          <w:rFonts w:asciiTheme="majorBidi" w:hAnsiTheme="majorBidi" w:cstheme="majorBidi"/>
        </w:rPr>
      </w:pPr>
    </w:p>
    <w:p w:rsidR="00D97997" w:rsidRDefault="00D97997" w:rsidP="00377A04">
      <w:pPr>
        <w:pStyle w:val="Default"/>
        <w:rPr>
          <w:rFonts w:asciiTheme="majorBidi" w:hAnsiTheme="majorBidi" w:cstheme="majorBidi"/>
        </w:rPr>
      </w:pPr>
    </w:p>
    <w:p w:rsidR="001F3C5F" w:rsidRDefault="001F3C5F" w:rsidP="00377A04">
      <w:pPr>
        <w:pStyle w:val="Default"/>
        <w:rPr>
          <w:rFonts w:asciiTheme="majorBidi" w:hAnsiTheme="majorBidi" w:cstheme="majorBidi"/>
        </w:rPr>
      </w:pPr>
    </w:p>
    <w:p w:rsidR="001F3C5F" w:rsidRDefault="001F3C5F" w:rsidP="00377A04">
      <w:pPr>
        <w:pStyle w:val="Default"/>
        <w:rPr>
          <w:rFonts w:asciiTheme="majorBidi" w:hAnsiTheme="majorBidi" w:cstheme="majorBidi"/>
        </w:rPr>
      </w:pPr>
    </w:p>
    <w:p w:rsidR="001F3C5F" w:rsidRDefault="001F3C5F" w:rsidP="00377A04">
      <w:pPr>
        <w:pStyle w:val="Default"/>
        <w:rPr>
          <w:rFonts w:asciiTheme="majorBidi" w:hAnsiTheme="majorBidi" w:cstheme="majorBidi"/>
        </w:rPr>
      </w:pPr>
    </w:p>
    <w:p w:rsidR="001F3C5F" w:rsidRDefault="001F3C5F" w:rsidP="00377A04">
      <w:pPr>
        <w:pStyle w:val="Default"/>
        <w:rPr>
          <w:rFonts w:asciiTheme="majorBidi" w:hAnsiTheme="majorBidi" w:cstheme="majorBidi"/>
        </w:rPr>
      </w:pPr>
    </w:p>
    <w:p w:rsidR="001F3C5F" w:rsidRDefault="001F3C5F" w:rsidP="00377A04">
      <w:pPr>
        <w:pStyle w:val="Default"/>
        <w:rPr>
          <w:rFonts w:asciiTheme="majorBidi" w:hAnsiTheme="majorBidi" w:cstheme="majorBidi"/>
        </w:rPr>
      </w:pPr>
    </w:p>
    <w:p w:rsidR="001F3C5F" w:rsidRDefault="001F3C5F" w:rsidP="00377A04">
      <w:pPr>
        <w:pStyle w:val="Default"/>
        <w:rPr>
          <w:rFonts w:asciiTheme="majorBidi" w:hAnsiTheme="majorBidi" w:cstheme="majorBidi"/>
        </w:rPr>
      </w:pPr>
    </w:p>
    <w:p w:rsidR="001F3C5F" w:rsidRDefault="001F3C5F" w:rsidP="00377A04">
      <w:pPr>
        <w:pStyle w:val="Default"/>
        <w:rPr>
          <w:rFonts w:asciiTheme="majorBidi" w:hAnsiTheme="majorBidi" w:cstheme="majorBidi"/>
        </w:rPr>
      </w:pPr>
    </w:p>
    <w:p w:rsidR="001F3C5F" w:rsidRDefault="001F3C5F" w:rsidP="00377A04">
      <w:pPr>
        <w:pStyle w:val="Default"/>
        <w:rPr>
          <w:rFonts w:asciiTheme="majorBidi" w:hAnsiTheme="majorBidi" w:cstheme="majorBidi"/>
        </w:rPr>
      </w:pPr>
    </w:p>
    <w:p w:rsidR="001F3C5F" w:rsidRDefault="001F3C5F" w:rsidP="00377A04">
      <w:pPr>
        <w:pStyle w:val="Default"/>
        <w:rPr>
          <w:rFonts w:asciiTheme="majorBidi" w:hAnsiTheme="majorBidi" w:cstheme="majorBidi"/>
        </w:rPr>
      </w:pPr>
    </w:p>
    <w:p w:rsidR="001F3C5F" w:rsidRDefault="001F3C5F" w:rsidP="00377A04">
      <w:pPr>
        <w:pStyle w:val="Default"/>
        <w:rPr>
          <w:rFonts w:asciiTheme="majorBidi" w:hAnsiTheme="majorBidi" w:cstheme="majorBidi"/>
        </w:rPr>
      </w:pPr>
    </w:p>
    <w:p w:rsidR="001F3C5F" w:rsidRDefault="001F3C5F" w:rsidP="00377A04">
      <w:pPr>
        <w:pStyle w:val="Default"/>
        <w:rPr>
          <w:rFonts w:asciiTheme="majorBidi" w:hAnsiTheme="majorBidi" w:cstheme="majorBidi"/>
        </w:rPr>
      </w:pPr>
    </w:p>
    <w:p w:rsidR="001F3C5F" w:rsidRDefault="001F3C5F" w:rsidP="00377A04">
      <w:pPr>
        <w:pStyle w:val="Default"/>
        <w:rPr>
          <w:rFonts w:asciiTheme="majorBidi" w:hAnsiTheme="majorBidi" w:cstheme="majorBidi"/>
        </w:rPr>
      </w:pPr>
    </w:p>
    <w:p w:rsidR="001F3C5F" w:rsidRDefault="001F3C5F" w:rsidP="00377A04">
      <w:pPr>
        <w:pStyle w:val="Default"/>
        <w:rPr>
          <w:rFonts w:asciiTheme="majorBidi" w:hAnsiTheme="majorBidi" w:cstheme="majorBidi"/>
        </w:rPr>
      </w:pPr>
    </w:p>
    <w:p w:rsidR="001F3C5F" w:rsidRDefault="001F3C5F" w:rsidP="00377A04">
      <w:pPr>
        <w:pStyle w:val="Default"/>
        <w:rPr>
          <w:rFonts w:asciiTheme="majorBidi" w:hAnsiTheme="majorBidi" w:cstheme="majorBidi"/>
        </w:rPr>
      </w:pPr>
    </w:p>
    <w:p w:rsidR="001F3C5F" w:rsidRDefault="001F3C5F" w:rsidP="00377A04">
      <w:pPr>
        <w:pStyle w:val="Default"/>
        <w:rPr>
          <w:rFonts w:asciiTheme="majorBidi" w:hAnsiTheme="majorBidi" w:cstheme="majorBidi"/>
        </w:rPr>
      </w:pPr>
    </w:p>
    <w:p w:rsidR="001F3C5F" w:rsidRDefault="001F3C5F" w:rsidP="00377A04">
      <w:pPr>
        <w:pStyle w:val="Default"/>
        <w:rPr>
          <w:rFonts w:asciiTheme="majorBidi" w:hAnsiTheme="majorBidi" w:cstheme="majorBidi"/>
        </w:rPr>
      </w:pPr>
    </w:p>
    <w:p w:rsidR="001F3C5F" w:rsidRDefault="001F3C5F" w:rsidP="00377A04">
      <w:pPr>
        <w:pStyle w:val="Default"/>
        <w:rPr>
          <w:rFonts w:asciiTheme="majorBidi" w:hAnsiTheme="majorBidi" w:cstheme="majorBidi"/>
        </w:rPr>
      </w:pPr>
    </w:p>
    <w:p w:rsidR="001F3C5F" w:rsidRDefault="001F3C5F" w:rsidP="00377A04">
      <w:pPr>
        <w:pStyle w:val="Default"/>
        <w:rPr>
          <w:rFonts w:asciiTheme="majorBidi" w:hAnsiTheme="majorBidi" w:cstheme="majorBidi"/>
        </w:rPr>
      </w:pPr>
    </w:p>
    <w:p w:rsidR="001F3C5F" w:rsidRDefault="001F3C5F" w:rsidP="00377A04">
      <w:pPr>
        <w:pStyle w:val="Default"/>
        <w:rPr>
          <w:rFonts w:asciiTheme="majorBidi" w:hAnsiTheme="majorBidi" w:cstheme="majorBidi"/>
        </w:rPr>
      </w:pPr>
    </w:p>
    <w:p w:rsidR="001F3C5F" w:rsidRPr="001F3C5F" w:rsidRDefault="001F3C5F" w:rsidP="00377A04">
      <w:pPr>
        <w:pStyle w:val="Default"/>
        <w:rPr>
          <w:rFonts w:asciiTheme="majorBidi" w:hAnsiTheme="majorBidi" w:cstheme="majorBidi"/>
        </w:rPr>
      </w:pPr>
    </w:p>
    <w:p w:rsidR="002F1EEF" w:rsidRPr="001F3C5F" w:rsidRDefault="00495798" w:rsidP="00377A04">
      <w:pPr>
        <w:pStyle w:val="Default"/>
        <w:rPr>
          <w:rFonts w:asciiTheme="majorBidi" w:hAnsiTheme="majorBidi" w:cstheme="majorBidi"/>
        </w:rPr>
      </w:pPr>
      <w:r w:rsidRPr="001F3C5F">
        <w:rPr>
          <w:rFonts w:asciiTheme="majorBidi" w:hAnsiTheme="majorBidi" w:cstheme="majorBidi"/>
        </w:rPr>
        <w:lastRenderedPageBreak/>
        <w:t>Table1: descriptive statistics for</w:t>
      </w:r>
      <w:r w:rsidR="00377A04" w:rsidRPr="001F3C5F">
        <w:rPr>
          <w:rFonts w:asciiTheme="majorBidi" w:hAnsiTheme="majorBidi" w:cstheme="majorBidi"/>
        </w:rPr>
        <w:t xml:space="preserve"> HSGPA, GAT, and FYGPA for seven Saudi universities.</w:t>
      </w:r>
    </w:p>
    <w:tbl>
      <w:tblPr>
        <w:tblW w:w="5861" w:type="pct"/>
        <w:jc w:val="center"/>
        <w:tblInd w:w="-14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2135"/>
        <w:gridCol w:w="697"/>
        <w:gridCol w:w="750"/>
        <w:gridCol w:w="1098"/>
        <w:gridCol w:w="698"/>
        <w:gridCol w:w="750"/>
        <w:gridCol w:w="1098"/>
        <w:gridCol w:w="698"/>
        <w:gridCol w:w="750"/>
        <w:gridCol w:w="1097"/>
      </w:tblGrid>
      <w:tr w:rsidR="007A28B8" w:rsidRPr="001F3C5F" w:rsidTr="001F3C5F">
        <w:trPr>
          <w:cantSplit/>
          <w:jc w:val="center"/>
        </w:trPr>
        <w:tc>
          <w:tcPr>
            <w:tcW w:w="1093" w:type="pct"/>
            <w:vMerge w:val="restar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p>
        </w:tc>
        <w:tc>
          <w:tcPr>
            <w:tcW w:w="1302" w:type="pct"/>
            <w:gridSpan w:val="3"/>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University GPA</w:t>
            </w:r>
          </w:p>
        </w:tc>
        <w:tc>
          <w:tcPr>
            <w:tcW w:w="1302" w:type="pct"/>
            <w:gridSpan w:val="3"/>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GAT</w:t>
            </w:r>
          </w:p>
        </w:tc>
        <w:tc>
          <w:tcPr>
            <w:tcW w:w="1302" w:type="pct"/>
            <w:gridSpan w:val="3"/>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High School</w:t>
            </w:r>
          </w:p>
        </w:tc>
      </w:tr>
      <w:tr w:rsidR="001F3C5F" w:rsidRPr="001F3C5F" w:rsidTr="001F3C5F">
        <w:trPr>
          <w:cantSplit/>
          <w:jc w:val="center"/>
        </w:trPr>
        <w:tc>
          <w:tcPr>
            <w:tcW w:w="1093" w:type="pct"/>
            <w:vMerge/>
            <w:shd w:val="clear" w:color="auto" w:fill="FFFFFF"/>
            <w:vAlign w:val="center"/>
          </w:tcPr>
          <w:p w:rsidR="002F1EEF" w:rsidRPr="001F3C5F" w:rsidRDefault="002F1EEF" w:rsidP="00352BA7">
            <w:pPr>
              <w:autoSpaceDE w:val="0"/>
              <w:autoSpaceDN w:val="0"/>
              <w:adjustRightInd w:val="0"/>
              <w:spacing w:after="0" w:line="240" w:lineRule="auto"/>
              <w:jc w:val="center"/>
              <w:rPr>
                <w:rFonts w:asciiTheme="majorBidi" w:hAnsiTheme="majorBidi" w:cstheme="majorBidi"/>
                <w:color w:val="000000"/>
                <w:sz w:val="24"/>
                <w:szCs w:val="24"/>
              </w:rPr>
            </w:pP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Mean</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Count</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Standard Deviation</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Mean</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Count</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Standard Deviation</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Mean</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Count</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Standard Deviation</w:t>
            </w:r>
          </w:p>
        </w:tc>
      </w:tr>
      <w:tr w:rsidR="001F3C5F" w:rsidRPr="001F3C5F" w:rsidTr="001F3C5F">
        <w:trPr>
          <w:cantSplit/>
          <w:jc w:val="center"/>
        </w:trPr>
        <w:tc>
          <w:tcPr>
            <w:tcW w:w="1093" w:type="pct"/>
            <w:shd w:val="clear" w:color="auto" w:fill="FFFFFF"/>
            <w:vAlign w:val="center"/>
          </w:tcPr>
          <w:p w:rsidR="002F1EEF" w:rsidRPr="001F3C5F" w:rsidRDefault="002F1EEF" w:rsidP="007A28B8">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sz w:val="24"/>
                <w:szCs w:val="24"/>
              </w:rPr>
              <w:t>King Fahad university for petroleum and minerals</w:t>
            </w:r>
            <w:r w:rsidR="007A28B8" w:rsidRPr="001F3C5F">
              <w:rPr>
                <w:rFonts w:asciiTheme="majorBidi" w:hAnsiTheme="majorBidi" w:cstheme="majorBidi"/>
                <w:sz w:val="24"/>
                <w:szCs w:val="24"/>
              </w:rPr>
              <w:t xml:space="preserve"> ( KFUPM) </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3.63</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1944</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.99</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86.01</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1944</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4.59</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96.73</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1944</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3.06</w:t>
            </w:r>
          </w:p>
        </w:tc>
      </w:tr>
      <w:tr w:rsidR="001F3C5F" w:rsidRPr="001F3C5F" w:rsidTr="001F3C5F">
        <w:trPr>
          <w:cantSplit/>
          <w:jc w:val="center"/>
        </w:trPr>
        <w:tc>
          <w:tcPr>
            <w:tcW w:w="1093" w:type="pct"/>
            <w:shd w:val="clear" w:color="auto" w:fill="FFFFFF"/>
            <w:vAlign w:val="center"/>
          </w:tcPr>
          <w:p w:rsidR="002F1EEF" w:rsidRPr="001F3C5F" w:rsidRDefault="002F1EEF" w:rsidP="007A28B8">
            <w:pPr>
              <w:jc w:val="center"/>
              <w:rPr>
                <w:rFonts w:asciiTheme="majorBidi" w:hAnsiTheme="majorBidi" w:cstheme="majorBidi"/>
                <w:sz w:val="24"/>
                <w:szCs w:val="24"/>
              </w:rPr>
            </w:pPr>
            <w:r w:rsidRPr="001F3C5F">
              <w:rPr>
                <w:rFonts w:asciiTheme="majorBidi" w:hAnsiTheme="majorBidi" w:cstheme="majorBidi"/>
                <w:sz w:val="24"/>
                <w:szCs w:val="24"/>
              </w:rPr>
              <w:t>King Khalid university</w:t>
            </w:r>
            <w:r w:rsidR="007A28B8" w:rsidRPr="001F3C5F">
              <w:rPr>
                <w:rFonts w:asciiTheme="majorBidi" w:hAnsiTheme="majorBidi" w:cstheme="majorBidi"/>
                <w:sz w:val="24"/>
                <w:szCs w:val="24"/>
              </w:rPr>
              <w:t xml:space="preserve"> ( KKU)</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2.99</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8945</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.91</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70.76</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8945</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8.23</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92.23</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8945</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5.20</w:t>
            </w:r>
          </w:p>
        </w:tc>
      </w:tr>
      <w:tr w:rsidR="001F3C5F" w:rsidRPr="001F3C5F" w:rsidTr="001F3C5F">
        <w:trPr>
          <w:cantSplit/>
          <w:jc w:val="center"/>
        </w:trPr>
        <w:tc>
          <w:tcPr>
            <w:tcW w:w="1093" w:type="pct"/>
            <w:shd w:val="clear" w:color="auto" w:fill="FFFFFF"/>
            <w:vAlign w:val="center"/>
          </w:tcPr>
          <w:p w:rsidR="002F1EEF" w:rsidRPr="001F3C5F" w:rsidRDefault="002F1EEF" w:rsidP="007A28B8">
            <w:pPr>
              <w:jc w:val="center"/>
              <w:rPr>
                <w:rFonts w:asciiTheme="majorBidi" w:hAnsiTheme="majorBidi" w:cstheme="majorBidi"/>
                <w:sz w:val="24"/>
                <w:szCs w:val="24"/>
              </w:rPr>
            </w:pPr>
            <w:r w:rsidRPr="001F3C5F">
              <w:rPr>
                <w:rFonts w:asciiTheme="majorBidi" w:hAnsiTheme="majorBidi" w:cstheme="majorBidi"/>
                <w:sz w:val="24"/>
                <w:szCs w:val="24"/>
              </w:rPr>
              <w:t>Um Alqura university</w:t>
            </w:r>
            <w:r w:rsidR="007A28B8" w:rsidRPr="001F3C5F">
              <w:rPr>
                <w:rFonts w:asciiTheme="majorBidi" w:hAnsiTheme="majorBidi" w:cstheme="majorBidi"/>
                <w:sz w:val="24"/>
                <w:szCs w:val="24"/>
              </w:rPr>
              <w:t xml:space="preserve"> (UQU)</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3.39</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15016</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.97</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68.99</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15016</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9.00</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85.37</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15016</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9.11</w:t>
            </w:r>
          </w:p>
        </w:tc>
      </w:tr>
      <w:tr w:rsidR="001F3C5F" w:rsidRPr="001F3C5F" w:rsidTr="001F3C5F">
        <w:trPr>
          <w:cantSplit/>
          <w:jc w:val="center"/>
        </w:trPr>
        <w:tc>
          <w:tcPr>
            <w:tcW w:w="1093" w:type="pct"/>
            <w:shd w:val="clear" w:color="auto" w:fill="FFFFFF"/>
            <w:vAlign w:val="center"/>
          </w:tcPr>
          <w:p w:rsidR="002F1EEF" w:rsidRPr="001F3C5F" w:rsidRDefault="002F1EEF" w:rsidP="007A28B8">
            <w:pPr>
              <w:jc w:val="center"/>
              <w:rPr>
                <w:rFonts w:asciiTheme="majorBidi" w:hAnsiTheme="majorBidi" w:cstheme="majorBidi"/>
                <w:sz w:val="24"/>
                <w:szCs w:val="24"/>
              </w:rPr>
            </w:pPr>
            <w:r w:rsidRPr="001F3C5F">
              <w:rPr>
                <w:rFonts w:asciiTheme="majorBidi" w:hAnsiTheme="majorBidi" w:cstheme="majorBidi"/>
                <w:sz w:val="24"/>
                <w:szCs w:val="24"/>
              </w:rPr>
              <w:t>King Abdulaziz university</w:t>
            </w:r>
            <w:r w:rsidR="007A28B8" w:rsidRPr="001F3C5F">
              <w:rPr>
                <w:rFonts w:asciiTheme="majorBidi" w:hAnsiTheme="majorBidi" w:cstheme="majorBidi"/>
                <w:sz w:val="24"/>
                <w:szCs w:val="24"/>
              </w:rPr>
              <w:t xml:space="preserve"> ( KAU)</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3.48</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6111</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.59</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76.15</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6111</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6.86</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91.28</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6111</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5.21</w:t>
            </w:r>
          </w:p>
        </w:tc>
      </w:tr>
      <w:tr w:rsidR="001F3C5F" w:rsidRPr="001F3C5F" w:rsidTr="001F3C5F">
        <w:trPr>
          <w:cantSplit/>
          <w:jc w:val="center"/>
        </w:trPr>
        <w:tc>
          <w:tcPr>
            <w:tcW w:w="1093" w:type="pct"/>
            <w:shd w:val="clear" w:color="auto" w:fill="FFFFFF"/>
            <w:vAlign w:val="center"/>
          </w:tcPr>
          <w:p w:rsidR="002F1EEF" w:rsidRPr="001F3C5F" w:rsidRDefault="002F1EEF" w:rsidP="007A28B8">
            <w:pPr>
              <w:jc w:val="center"/>
              <w:rPr>
                <w:rFonts w:asciiTheme="majorBidi" w:hAnsiTheme="majorBidi" w:cstheme="majorBidi"/>
                <w:sz w:val="24"/>
                <w:szCs w:val="24"/>
              </w:rPr>
            </w:pPr>
            <w:r w:rsidRPr="001F3C5F">
              <w:rPr>
                <w:rFonts w:asciiTheme="majorBidi" w:hAnsiTheme="majorBidi" w:cstheme="majorBidi"/>
                <w:sz w:val="24"/>
                <w:szCs w:val="24"/>
              </w:rPr>
              <w:t>King Saud university</w:t>
            </w:r>
            <w:r w:rsidR="007A28B8" w:rsidRPr="001F3C5F">
              <w:rPr>
                <w:rFonts w:asciiTheme="majorBidi" w:hAnsiTheme="majorBidi" w:cstheme="majorBidi"/>
                <w:sz w:val="24"/>
                <w:szCs w:val="24"/>
              </w:rPr>
              <w:t xml:space="preserve"> ( KSU)</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3.54</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11158</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.87</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74.59</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11158</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8.24</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92.91</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11158</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6.11</w:t>
            </w:r>
          </w:p>
        </w:tc>
      </w:tr>
      <w:tr w:rsidR="001F3C5F" w:rsidRPr="001F3C5F" w:rsidTr="001F3C5F">
        <w:trPr>
          <w:cantSplit/>
          <w:jc w:val="center"/>
        </w:trPr>
        <w:tc>
          <w:tcPr>
            <w:tcW w:w="1093" w:type="pct"/>
            <w:shd w:val="clear" w:color="auto" w:fill="FFFFFF"/>
            <w:vAlign w:val="center"/>
          </w:tcPr>
          <w:p w:rsidR="002F1EEF" w:rsidRPr="001F3C5F" w:rsidRDefault="002F1EEF" w:rsidP="007A28B8">
            <w:pPr>
              <w:jc w:val="center"/>
              <w:rPr>
                <w:rFonts w:asciiTheme="majorBidi" w:hAnsiTheme="majorBidi" w:cstheme="majorBidi"/>
                <w:sz w:val="24"/>
                <w:szCs w:val="24"/>
              </w:rPr>
            </w:pPr>
            <w:r w:rsidRPr="001F3C5F">
              <w:rPr>
                <w:rFonts w:asciiTheme="majorBidi" w:hAnsiTheme="majorBidi" w:cstheme="majorBidi"/>
                <w:sz w:val="24"/>
                <w:szCs w:val="24"/>
              </w:rPr>
              <w:t>Islamic university</w:t>
            </w:r>
            <w:r w:rsidR="007A28B8" w:rsidRPr="001F3C5F">
              <w:rPr>
                <w:rFonts w:asciiTheme="majorBidi" w:hAnsiTheme="majorBidi" w:cstheme="majorBidi"/>
                <w:sz w:val="24"/>
                <w:szCs w:val="24"/>
              </w:rPr>
              <w:t xml:space="preserve"> (IU)</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2.59</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4096</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1.15</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66.79</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4096</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7.95</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80.53</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4096</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7.09</w:t>
            </w:r>
          </w:p>
        </w:tc>
      </w:tr>
      <w:tr w:rsidR="001F3C5F" w:rsidRPr="001F3C5F" w:rsidTr="001F3C5F">
        <w:trPr>
          <w:cantSplit/>
          <w:jc w:val="center"/>
        </w:trPr>
        <w:tc>
          <w:tcPr>
            <w:tcW w:w="1093" w:type="pct"/>
            <w:shd w:val="clear" w:color="auto" w:fill="FFFFFF"/>
            <w:vAlign w:val="center"/>
          </w:tcPr>
          <w:p w:rsidR="002F1EEF" w:rsidRPr="001F3C5F" w:rsidRDefault="002F1EEF" w:rsidP="007A28B8">
            <w:pPr>
              <w:jc w:val="center"/>
              <w:rPr>
                <w:rFonts w:asciiTheme="majorBidi" w:hAnsiTheme="majorBidi" w:cstheme="majorBidi"/>
                <w:sz w:val="24"/>
                <w:szCs w:val="24"/>
              </w:rPr>
            </w:pPr>
            <w:r w:rsidRPr="001F3C5F">
              <w:rPr>
                <w:rFonts w:asciiTheme="majorBidi" w:hAnsiTheme="majorBidi" w:cstheme="majorBidi"/>
                <w:sz w:val="24"/>
                <w:szCs w:val="24"/>
              </w:rPr>
              <w:t>Taibah university</w:t>
            </w:r>
            <w:r w:rsidR="007A28B8" w:rsidRPr="001F3C5F">
              <w:rPr>
                <w:rFonts w:asciiTheme="majorBidi" w:hAnsiTheme="majorBidi" w:cstheme="majorBidi"/>
                <w:sz w:val="24"/>
                <w:szCs w:val="24"/>
              </w:rPr>
              <w:t xml:space="preserve"> (TU)</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4.25</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1206</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.77</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78.86</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1206</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6.13</w:t>
            </w:r>
          </w:p>
        </w:tc>
        <w:tc>
          <w:tcPr>
            <w:tcW w:w="357"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96.56</w:t>
            </w:r>
          </w:p>
        </w:tc>
        <w:tc>
          <w:tcPr>
            <w:tcW w:w="384"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1206</w:t>
            </w:r>
          </w:p>
        </w:tc>
        <w:tc>
          <w:tcPr>
            <w:tcW w:w="562" w:type="pct"/>
            <w:shd w:val="clear" w:color="auto" w:fill="FFFFFF"/>
            <w:vAlign w:val="center"/>
          </w:tcPr>
          <w:p w:rsidR="002F1EEF" w:rsidRPr="001F3C5F" w:rsidRDefault="002F1EEF" w:rsidP="00352BA7">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3.33</w:t>
            </w:r>
          </w:p>
        </w:tc>
      </w:tr>
      <w:tr w:rsidR="001F3C5F" w:rsidRPr="001F3C5F" w:rsidTr="001F3C5F">
        <w:trPr>
          <w:cantSplit/>
          <w:jc w:val="center"/>
        </w:trPr>
        <w:tc>
          <w:tcPr>
            <w:tcW w:w="1093" w:type="pct"/>
            <w:shd w:val="clear" w:color="auto" w:fill="FFFFFF"/>
            <w:vAlign w:val="center"/>
          </w:tcPr>
          <w:p w:rsidR="002F1EEF" w:rsidRPr="001F3C5F" w:rsidRDefault="002F1EEF" w:rsidP="00352BA7">
            <w:pPr>
              <w:jc w:val="center"/>
              <w:rPr>
                <w:rFonts w:asciiTheme="majorBidi" w:hAnsiTheme="majorBidi" w:cstheme="majorBidi"/>
                <w:sz w:val="24"/>
                <w:szCs w:val="24"/>
              </w:rPr>
            </w:pPr>
            <w:r w:rsidRPr="001F3C5F">
              <w:rPr>
                <w:rFonts w:asciiTheme="majorBidi" w:hAnsiTheme="majorBidi" w:cstheme="majorBidi"/>
                <w:sz w:val="24"/>
                <w:szCs w:val="24"/>
              </w:rPr>
              <w:t>Over All</w:t>
            </w:r>
          </w:p>
        </w:tc>
        <w:tc>
          <w:tcPr>
            <w:tcW w:w="357" w:type="pct"/>
            <w:shd w:val="clear" w:color="auto" w:fill="FFFFFF"/>
            <w:vAlign w:val="center"/>
          </w:tcPr>
          <w:p w:rsidR="002F1EEF" w:rsidRPr="001F3C5F" w:rsidRDefault="002F1EEF" w:rsidP="00352BA7">
            <w:pPr>
              <w:jc w:val="center"/>
              <w:rPr>
                <w:rFonts w:asciiTheme="majorBidi" w:hAnsiTheme="majorBidi" w:cstheme="majorBidi"/>
                <w:sz w:val="24"/>
                <w:szCs w:val="24"/>
              </w:rPr>
            </w:pPr>
            <w:r w:rsidRPr="001F3C5F">
              <w:rPr>
                <w:rFonts w:asciiTheme="majorBidi" w:hAnsiTheme="majorBidi" w:cstheme="majorBidi"/>
                <w:sz w:val="24"/>
                <w:szCs w:val="24"/>
              </w:rPr>
              <w:t>2.97</w:t>
            </w:r>
          </w:p>
        </w:tc>
        <w:tc>
          <w:tcPr>
            <w:tcW w:w="384" w:type="pct"/>
            <w:shd w:val="clear" w:color="auto" w:fill="FFFFFF"/>
            <w:vAlign w:val="center"/>
          </w:tcPr>
          <w:p w:rsidR="002F1EEF" w:rsidRPr="001F3C5F" w:rsidRDefault="002F1EEF" w:rsidP="00352BA7">
            <w:pPr>
              <w:jc w:val="center"/>
              <w:rPr>
                <w:rFonts w:asciiTheme="majorBidi" w:hAnsiTheme="majorBidi" w:cstheme="majorBidi"/>
                <w:sz w:val="24"/>
                <w:szCs w:val="24"/>
              </w:rPr>
            </w:pPr>
            <w:r w:rsidRPr="001F3C5F">
              <w:rPr>
                <w:rFonts w:asciiTheme="majorBidi" w:hAnsiTheme="majorBidi" w:cstheme="majorBidi"/>
                <w:sz w:val="24"/>
                <w:szCs w:val="24"/>
              </w:rPr>
              <w:t>48476</w:t>
            </w:r>
          </w:p>
        </w:tc>
        <w:tc>
          <w:tcPr>
            <w:tcW w:w="562" w:type="pct"/>
            <w:shd w:val="clear" w:color="auto" w:fill="FFFFFF"/>
            <w:vAlign w:val="center"/>
          </w:tcPr>
          <w:p w:rsidR="002F1EEF" w:rsidRPr="001F3C5F" w:rsidRDefault="002F1EEF" w:rsidP="00352BA7">
            <w:pPr>
              <w:jc w:val="center"/>
              <w:rPr>
                <w:rFonts w:asciiTheme="majorBidi" w:hAnsiTheme="majorBidi" w:cstheme="majorBidi"/>
                <w:sz w:val="24"/>
                <w:szCs w:val="24"/>
              </w:rPr>
            </w:pPr>
            <w:r w:rsidRPr="001F3C5F">
              <w:rPr>
                <w:rFonts w:asciiTheme="majorBidi" w:hAnsiTheme="majorBidi" w:cstheme="majorBidi"/>
                <w:sz w:val="24"/>
                <w:szCs w:val="24"/>
              </w:rPr>
              <w:t>1.03</w:t>
            </w:r>
          </w:p>
        </w:tc>
        <w:tc>
          <w:tcPr>
            <w:tcW w:w="357" w:type="pct"/>
            <w:shd w:val="clear" w:color="auto" w:fill="FFFFFF"/>
            <w:vAlign w:val="center"/>
          </w:tcPr>
          <w:p w:rsidR="002F1EEF" w:rsidRPr="001F3C5F" w:rsidRDefault="002F1EEF" w:rsidP="00352BA7">
            <w:pPr>
              <w:jc w:val="center"/>
              <w:rPr>
                <w:rFonts w:asciiTheme="majorBidi" w:hAnsiTheme="majorBidi" w:cstheme="majorBidi"/>
                <w:sz w:val="24"/>
                <w:szCs w:val="24"/>
              </w:rPr>
            </w:pPr>
            <w:r w:rsidRPr="001F3C5F">
              <w:rPr>
                <w:rFonts w:asciiTheme="majorBidi" w:hAnsiTheme="majorBidi" w:cstheme="majorBidi"/>
                <w:sz w:val="24"/>
                <w:szCs w:val="24"/>
              </w:rPr>
              <w:t>72.54</w:t>
            </w:r>
          </w:p>
        </w:tc>
        <w:tc>
          <w:tcPr>
            <w:tcW w:w="384" w:type="pct"/>
            <w:shd w:val="clear" w:color="auto" w:fill="FFFFFF"/>
            <w:vAlign w:val="center"/>
          </w:tcPr>
          <w:p w:rsidR="002F1EEF" w:rsidRPr="001F3C5F" w:rsidRDefault="002F1EEF" w:rsidP="00352BA7">
            <w:pPr>
              <w:jc w:val="center"/>
              <w:rPr>
                <w:rFonts w:asciiTheme="majorBidi" w:hAnsiTheme="majorBidi" w:cstheme="majorBidi"/>
                <w:sz w:val="24"/>
                <w:szCs w:val="24"/>
              </w:rPr>
            </w:pPr>
            <w:r w:rsidRPr="001F3C5F">
              <w:rPr>
                <w:rFonts w:asciiTheme="majorBidi" w:hAnsiTheme="majorBidi" w:cstheme="majorBidi"/>
                <w:sz w:val="24"/>
                <w:szCs w:val="24"/>
              </w:rPr>
              <w:t>48476</w:t>
            </w:r>
          </w:p>
        </w:tc>
        <w:tc>
          <w:tcPr>
            <w:tcW w:w="562" w:type="pct"/>
            <w:shd w:val="clear" w:color="auto" w:fill="FFFFFF"/>
            <w:vAlign w:val="center"/>
          </w:tcPr>
          <w:p w:rsidR="002F1EEF" w:rsidRPr="001F3C5F" w:rsidRDefault="002F1EEF" w:rsidP="00352BA7">
            <w:pPr>
              <w:jc w:val="center"/>
              <w:rPr>
                <w:rFonts w:asciiTheme="majorBidi" w:hAnsiTheme="majorBidi" w:cstheme="majorBidi"/>
                <w:sz w:val="24"/>
                <w:szCs w:val="24"/>
              </w:rPr>
            </w:pPr>
            <w:r w:rsidRPr="001F3C5F">
              <w:rPr>
                <w:rFonts w:asciiTheme="majorBidi" w:hAnsiTheme="majorBidi" w:cstheme="majorBidi"/>
                <w:sz w:val="24"/>
                <w:szCs w:val="24"/>
              </w:rPr>
              <w:t>9.19</w:t>
            </w:r>
          </w:p>
        </w:tc>
        <w:tc>
          <w:tcPr>
            <w:tcW w:w="357" w:type="pct"/>
            <w:shd w:val="clear" w:color="auto" w:fill="FFFFFF"/>
            <w:vAlign w:val="center"/>
          </w:tcPr>
          <w:p w:rsidR="002F1EEF" w:rsidRPr="001F3C5F" w:rsidRDefault="002F1EEF" w:rsidP="00352BA7">
            <w:pPr>
              <w:jc w:val="center"/>
              <w:rPr>
                <w:rFonts w:asciiTheme="majorBidi" w:hAnsiTheme="majorBidi" w:cstheme="majorBidi"/>
                <w:sz w:val="24"/>
                <w:szCs w:val="24"/>
              </w:rPr>
            </w:pPr>
            <w:r w:rsidRPr="001F3C5F">
              <w:rPr>
                <w:rFonts w:asciiTheme="majorBidi" w:hAnsiTheme="majorBidi" w:cstheme="majorBidi"/>
                <w:sz w:val="24"/>
                <w:szCs w:val="24"/>
              </w:rPr>
              <w:t>89.42</w:t>
            </w:r>
          </w:p>
        </w:tc>
        <w:tc>
          <w:tcPr>
            <w:tcW w:w="384" w:type="pct"/>
            <w:shd w:val="clear" w:color="auto" w:fill="FFFFFF"/>
            <w:vAlign w:val="center"/>
          </w:tcPr>
          <w:p w:rsidR="002F1EEF" w:rsidRPr="001F3C5F" w:rsidRDefault="002F1EEF" w:rsidP="00352BA7">
            <w:pPr>
              <w:jc w:val="center"/>
              <w:rPr>
                <w:rFonts w:asciiTheme="majorBidi" w:hAnsiTheme="majorBidi" w:cstheme="majorBidi"/>
                <w:sz w:val="24"/>
                <w:szCs w:val="24"/>
              </w:rPr>
            </w:pPr>
            <w:r w:rsidRPr="001F3C5F">
              <w:rPr>
                <w:rFonts w:asciiTheme="majorBidi" w:hAnsiTheme="majorBidi" w:cstheme="majorBidi"/>
                <w:sz w:val="24"/>
                <w:szCs w:val="24"/>
              </w:rPr>
              <w:t>48476</w:t>
            </w:r>
          </w:p>
        </w:tc>
        <w:tc>
          <w:tcPr>
            <w:tcW w:w="562" w:type="pct"/>
            <w:shd w:val="clear" w:color="auto" w:fill="FFFFFF"/>
            <w:vAlign w:val="center"/>
          </w:tcPr>
          <w:p w:rsidR="002F1EEF" w:rsidRPr="001F3C5F" w:rsidRDefault="002F1EEF" w:rsidP="00352BA7">
            <w:pPr>
              <w:jc w:val="center"/>
              <w:rPr>
                <w:rFonts w:asciiTheme="majorBidi" w:hAnsiTheme="majorBidi" w:cstheme="majorBidi"/>
                <w:sz w:val="24"/>
                <w:szCs w:val="24"/>
              </w:rPr>
            </w:pPr>
            <w:r w:rsidRPr="001F3C5F">
              <w:rPr>
                <w:rFonts w:asciiTheme="majorBidi" w:hAnsiTheme="majorBidi" w:cstheme="majorBidi"/>
                <w:sz w:val="24"/>
                <w:szCs w:val="24"/>
              </w:rPr>
              <w:t>8.21</w:t>
            </w:r>
          </w:p>
        </w:tc>
      </w:tr>
    </w:tbl>
    <w:p w:rsidR="002F1EEF" w:rsidRPr="001F3C5F" w:rsidRDefault="002F1EEF" w:rsidP="00693D56">
      <w:pPr>
        <w:pStyle w:val="Default"/>
        <w:rPr>
          <w:rFonts w:asciiTheme="majorBidi" w:hAnsiTheme="majorBidi" w:cstheme="majorBidi"/>
        </w:rPr>
      </w:pPr>
    </w:p>
    <w:p w:rsidR="00BD73E9" w:rsidRPr="001F3C5F" w:rsidRDefault="00BD73E9" w:rsidP="00693D56">
      <w:pPr>
        <w:pStyle w:val="Default"/>
        <w:rPr>
          <w:rFonts w:asciiTheme="majorBidi" w:hAnsiTheme="majorBidi" w:cstheme="majorBidi"/>
        </w:rPr>
      </w:pPr>
    </w:p>
    <w:p w:rsidR="00BD73E9" w:rsidRPr="000F2217" w:rsidRDefault="00BD73E9" w:rsidP="00693D56">
      <w:pPr>
        <w:pStyle w:val="Default"/>
        <w:rPr>
          <w:b/>
          <w:bCs/>
        </w:rPr>
      </w:pPr>
      <w:r w:rsidRPr="001F3C5F">
        <w:rPr>
          <w:rFonts w:asciiTheme="majorBidi" w:hAnsiTheme="majorBidi" w:cstheme="majorBidi"/>
          <w:b/>
          <w:bCs/>
        </w:rPr>
        <w:t>Group differences</w:t>
      </w:r>
      <w:r w:rsidRPr="000F2217">
        <w:rPr>
          <w:b/>
          <w:bCs/>
        </w:rPr>
        <w:t>:</w:t>
      </w:r>
    </w:p>
    <w:p w:rsidR="00BE5746" w:rsidRDefault="00D40A0C" w:rsidP="007A17E7">
      <w:pPr>
        <w:pStyle w:val="Default"/>
        <w:jc w:val="both"/>
      </w:pPr>
      <w:r>
        <w:t>The cut-off score for high score performance is set to be 1.5 standard deviation. Thus</w:t>
      </w:r>
      <w:r w:rsidR="00F54B20">
        <w:t>,</w:t>
      </w:r>
      <w:r>
        <w:t xml:space="preserve"> student who gets lower than 80 is considered a low performance student</w:t>
      </w:r>
      <w:r w:rsidR="00F54B20">
        <w:t>.</w:t>
      </w:r>
      <w:r>
        <w:t xml:space="preserve"> </w:t>
      </w:r>
      <w:r w:rsidR="00F54B20">
        <w:t>However, s</w:t>
      </w:r>
      <w:r>
        <w:t>tudent who gets 80 or more is considered a high perf</w:t>
      </w:r>
      <w:r w:rsidR="00F54B20">
        <w:t>ormance student.</w:t>
      </w:r>
      <w:r>
        <w:t xml:space="preserve"> Table 2 </w:t>
      </w:r>
      <w:r w:rsidR="00851D8B">
        <w:t>shows t</w:t>
      </w:r>
      <w:r>
        <w:t>-test results for each university. All universities, except, TU had a significant differences between high and low scorers of GAT in FYGPA</w:t>
      </w:r>
      <w:r w:rsidR="004C07F2">
        <w:t xml:space="preserve"> means</w:t>
      </w:r>
      <w:r w:rsidR="00F54B20">
        <w:t>. Th</w:t>
      </w:r>
      <w:r w:rsidR="004C07F2">
        <w:t xml:space="preserve">us, </w:t>
      </w:r>
      <w:r w:rsidR="00F54B20">
        <w:t>getting high score in HSGPA does not mean getting high FYGPA in general, but getting high score in GAT will result in getting high score in FYGPA in general.</w:t>
      </w:r>
      <w:r w:rsidR="00BE5746">
        <w:t xml:space="preserve"> The differences are more apparent in </w:t>
      </w:r>
      <w:r w:rsidR="00510F25">
        <w:t>KAU</w:t>
      </w:r>
      <w:r w:rsidR="00BE5746">
        <w:t>, UQU, and KSU.</w:t>
      </w:r>
    </w:p>
    <w:p w:rsidR="00BE5746" w:rsidRDefault="00BE5746" w:rsidP="007A17E7">
      <w:pPr>
        <w:pStyle w:val="Default"/>
        <w:jc w:val="both"/>
      </w:pPr>
    </w:p>
    <w:p w:rsidR="001F3C5F" w:rsidRDefault="001F3C5F" w:rsidP="00BE5746">
      <w:pPr>
        <w:pStyle w:val="Default"/>
      </w:pPr>
    </w:p>
    <w:p w:rsidR="001F3C5F" w:rsidRDefault="001F3C5F" w:rsidP="00BE5746">
      <w:pPr>
        <w:pStyle w:val="Default"/>
      </w:pPr>
    </w:p>
    <w:p w:rsidR="001F3C5F" w:rsidRDefault="001F3C5F" w:rsidP="00BE5746">
      <w:pPr>
        <w:pStyle w:val="Default"/>
      </w:pPr>
    </w:p>
    <w:p w:rsidR="001F3C5F" w:rsidRDefault="001F3C5F" w:rsidP="00BE5746">
      <w:pPr>
        <w:pStyle w:val="Default"/>
      </w:pPr>
    </w:p>
    <w:p w:rsidR="001F3C5F" w:rsidRDefault="001F3C5F" w:rsidP="00BE5746">
      <w:pPr>
        <w:pStyle w:val="Default"/>
      </w:pPr>
    </w:p>
    <w:p w:rsidR="001F3C5F" w:rsidRDefault="001F3C5F" w:rsidP="00BE5746">
      <w:pPr>
        <w:pStyle w:val="Default"/>
      </w:pPr>
    </w:p>
    <w:p w:rsidR="00BE5746" w:rsidRDefault="00BE5746" w:rsidP="00BE5746">
      <w:pPr>
        <w:pStyle w:val="Default"/>
      </w:pPr>
      <w:r>
        <w:lastRenderedPageBreak/>
        <w:t>Table2:</w:t>
      </w:r>
      <w:r w:rsidR="00343D36">
        <w:t xml:space="preserve"> </w:t>
      </w:r>
      <w:r>
        <w:t>T-test analysis of the differences</w:t>
      </w:r>
      <w:r w:rsidR="00AA6D91">
        <w:t xml:space="preserve"> between means' level of significant for the low and high scores in GAT.</w:t>
      </w:r>
    </w:p>
    <w:tbl>
      <w:tblPr>
        <w:tblStyle w:val="TableGrid"/>
        <w:tblW w:w="0" w:type="auto"/>
        <w:jc w:val="center"/>
        <w:tblInd w:w="-5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20"/>
        <w:gridCol w:w="900"/>
        <w:gridCol w:w="1179"/>
        <w:gridCol w:w="1418"/>
        <w:gridCol w:w="1134"/>
        <w:gridCol w:w="1331"/>
        <w:gridCol w:w="562"/>
      </w:tblGrid>
      <w:tr w:rsidR="00132DB1" w:rsidRPr="001F3C5F" w:rsidTr="00132DB1">
        <w:trPr>
          <w:jc w:val="center"/>
        </w:trPr>
        <w:tc>
          <w:tcPr>
            <w:tcW w:w="2520" w:type="dxa"/>
            <w:shd w:val="clear" w:color="auto" w:fill="C4BC96" w:themeFill="background2" w:themeFillShade="BF"/>
            <w:vAlign w:val="center"/>
          </w:tcPr>
          <w:p w:rsidR="00132DB1" w:rsidRPr="001F3C5F" w:rsidRDefault="00132DB1" w:rsidP="00352BA7">
            <w:pPr>
              <w:jc w:val="center"/>
              <w:rPr>
                <w:rFonts w:asciiTheme="majorBidi" w:hAnsiTheme="majorBidi" w:cstheme="majorBidi"/>
                <w:b/>
                <w:bCs/>
                <w:sz w:val="24"/>
                <w:szCs w:val="24"/>
                <w:lang w:val="en-US"/>
              </w:rPr>
            </w:pPr>
            <w:r w:rsidRPr="001F3C5F">
              <w:rPr>
                <w:rFonts w:asciiTheme="majorBidi" w:hAnsiTheme="majorBidi" w:cstheme="majorBidi"/>
                <w:b/>
                <w:bCs/>
                <w:sz w:val="24"/>
                <w:szCs w:val="24"/>
                <w:lang w:val="en-US"/>
              </w:rPr>
              <w:t>University</w:t>
            </w:r>
          </w:p>
        </w:tc>
        <w:tc>
          <w:tcPr>
            <w:tcW w:w="900" w:type="dxa"/>
            <w:shd w:val="clear" w:color="auto" w:fill="C4BC96" w:themeFill="background2" w:themeFillShade="BF"/>
            <w:vAlign w:val="center"/>
          </w:tcPr>
          <w:p w:rsidR="00132DB1" w:rsidRPr="001F3C5F" w:rsidRDefault="00132DB1" w:rsidP="00352BA7">
            <w:pPr>
              <w:jc w:val="center"/>
              <w:rPr>
                <w:rFonts w:asciiTheme="majorBidi" w:hAnsiTheme="majorBidi" w:cstheme="majorBidi"/>
                <w:b/>
                <w:bCs/>
                <w:sz w:val="24"/>
                <w:szCs w:val="24"/>
                <w:lang w:val="en-US"/>
              </w:rPr>
            </w:pPr>
            <w:r w:rsidRPr="001F3C5F">
              <w:rPr>
                <w:rFonts w:asciiTheme="majorBidi" w:hAnsiTheme="majorBidi" w:cstheme="majorBidi"/>
                <w:b/>
                <w:bCs/>
                <w:sz w:val="24"/>
                <w:szCs w:val="24"/>
                <w:lang w:val="en-US"/>
              </w:rPr>
              <w:t>Cut Point</w:t>
            </w:r>
          </w:p>
        </w:tc>
        <w:tc>
          <w:tcPr>
            <w:tcW w:w="1179" w:type="dxa"/>
            <w:shd w:val="clear" w:color="auto" w:fill="C4BC96" w:themeFill="background2" w:themeFillShade="BF"/>
            <w:vAlign w:val="center"/>
          </w:tcPr>
          <w:p w:rsidR="00132DB1" w:rsidRPr="001F3C5F" w:rsidRDefault="00132DB1" w:rsidP="00352BA7">
            <w:pPr>
              <w:jc w:val="center"/>
              <w:rPr>
                <w:rFonts w:asciiTheme="majorBidi" w:hAnsiTheme="majorBidi" w:cstheme="majorBidi"/>
                <w:b/>
                <w:bCs/>
                <w:sz w:val="24"/>
                <w:szCs w:val="24"/>
                <w:lang w:val="en-US"/>
              </w:rPr>
            </w:pPr>
            <w:r w:rsidRPr="001F3C5F">
              <w:rPr>
                <w:rFonts w:asciiTheme="majorBidi" w:hAnsiTheme="majorBidi" w:cstheme="majorBidi"/>
                <w:b/>
                <w:bCs/>
                <w:sz w:val="24"/>
                <w:szCs w:val="24"/>
                <w:lang w:val="en-US"/>
              </w:rPr>
              <w:t>Number of students</w:t>
            </w:r>
          </w:p>
        </w:tc>
        <w:tc>
          <w:tcPr>
            <w:tcW w:w="1418" w:type="dxa"/>
            <w:shd w:val="clear" w:color="auto" w:fill="C4BC96" w:themeFill="background2" w:themeFillShade="BF"/>
            <w:vAlign w:val="center"/>
          </w:tcPr>
          <w:p w:rsidR="00132DB1" w:rsidRPr="001F3C5F" w:rsidRDefault="00132DB1" w:rsidP="00352BA7">
            <w:pPr>
              <w:jc w:val="center"/>
              <w:rPr>
                <w:rFonts w:asciiTheme="majorBidi" w:hAnsiTheme="majorBidi" w:cstheme="majorBidi"/>
                <w:b/>
                <w:bCs/>
                <w:sz w:val="24"/>
                <w:szCs w:val="24"/>
                <w:lang w:val="en-US"/>
              </w:rPr>
            </w:pPr>
            <w:r w:rsidRPr="001F3C5F">
              <w:rPr>
                <w:rFonts w:asciiTheme="majorBidi" w:hAnsiTheme="majorBidi" w:cstheme="majorBidi"/>
                <w:b/>
                <w:bCs/>
                <w:sz w:val="24"/>
                <w:szCs w:val="24"/>
                <w:lang w:val="en-US"/>
              </w:rPr>
              <w:t>Means</w:t>
            </w:r>
          </w:p>
        </w:tc>
        <w:tc>
          <w:tcPr>
            <w:tcW w:w="1134" w:type="dxa"/>
            <w:shd w:val="clear" w:color="auto" w:fill="C4BC96" w:themeFill="background2" w:themeFillShade="BF"/>
            <w:vAlign w:val="center"/>
          </w:tcPr>
          <w:p w:rsidR="00132DB1" w:rsidRPr="001F3C5F" w:rsidRDefault="00132DB1" w:rsidP="00352BA7">
            <w:pPr>
              <w:jc w:val="center"/>
              <w:rPr>
                <w:rFonts w:asciiTheme="majorBidi" w:hAnsiTheme="majorBidi" w:cstheme="majorBidi"/>
                <w:b/>
                <w:bCs/>
                <w:sz w:val="24"/>
                <w:szCs w:val="24"/>
                <w:lang w:val="en-US"/>
              </w:rPr>
            </w:pPr>
            <w:r w:rsidRPr="001F3C5F">
              <w:rPr>
                <w:rFonts w:asciiTheme="majorBidi" w:hAnsiTheme="majorBidi" w:cstheme="majorBidi"/>
                <w:b/>
                <w:bCs/>
                <w:sz w:val="24"/>
                <w:szCs w:val="24"/>
                <w:lang w:val="en-US"/>
              </w:rPr>
              <w:t>T-test value</w:t>
            </w:r>
          </w:p>
        </w:tc>
        <w:tc>
          <w:tcPr>
            <w:tcW w:w="1331" w:type="dxa"/>
            <w:shd w:val="clear" w:color="auto" w:fill="C4BC96" w:themeFill="background2" w:themeFillShade="BF"/>
            <w:vAlign w:val="center"/>
          </w:tcPr>
          <w:p w:rsidR="00132DB1" w:rsidRPr="001F3C5F" w:rsidRDefault="00132DB1" w:rsidP="00352BA7">
            <w:pPr>
              <w:jc w:val="center"/>
              <w:rPr>
                <w:rFonts w:asciiTheme="majorBidi" w:hAnsiTheme="majorBidi" w:cstheme="majorBidi"/>
                <w:b/>
                <w:bCs/>
                <w:sz w:val="24"/>
                <w:szCs w:val="24"/>
                <w:lang w:val="en-US"/>
              </w:rPr>
            </w:pPr>
            <w:r w:rsidRPr="001F3C5F">
              <w:rPr>
                <w:rFonts w:asciiTheme="majorBidi" w:hAnsiTheme="majorBidi" w:cstheme="majorBidi"/>
                <w:b/>
                <w:bCs/>
                <w:sz w:val="24"/>
                <w:szCs w:val="24"/>
                <w:lang w:val="en-US"/>
              </w:rPr>
              <w:t>DF</w:t>
            </w:r>
          </w:p>
        </w:tc>
        <w:tc>
          <w:tcPr>
            <w:tcW w:w="562" w:type="dxa"/>
            <w:shd w:val="clear" w:color="auto" w:fill="C4BC96" w:themeFill="background2" w:themeFillShade="BF"/>
            <w:vAlign w:val="center"/>
          </w:tcPr>
          <w:p w:rsidR="00132DB1" w:rsidRPr="001F3C5F" w:rsidRDefault="00132DB1" w:rsidP="00352BA7">
            <w:pPr>
              <w:jc w:val="center"/>
              <w:rPr>
                <w:rFonts w:asciiTheme="majorBidi" w:hAnsiTheme="majorBidi" w:cstheme="majorBidi"/>
                <w:b/>
                <w:bCs/>
                <w:sz w:val="24"/>
                <w:szCs w:val="24"/>
                <w:lang w:val="en-US"/>
              </w:rPr>
            </w:pPr>
            <w:r w:rsidRPr="001F3C5F">
              <w:rPr>
                <w:rFonts w:asciiTheme="majorBidi" w:hAnsiTheme="majorBidi" w:cstheme="majorBidi"/>
                <w:b/>
                <w:bCs/>
                <w:sz w:val="24"/>
                <w:szCs w:val="24"/>
                <w:lang w:val="en-US"/>
              </w:rPr>
              <w:t>Sig</w:t>
            </w:r>
          </w:p>
        </w:tc>
      </w:tr>
      <w:tr w:rsidR="00132DB1" w:rsidRPr="001F3C5F" w:rsidTr="00132DB1">
        <w:trPr>
          <w:trHeight w:val="20"/>
          <w:jc w:val="center"/>
        </w:trPr>
        <w:tc>
          <w:tcPr>
            <w:tcW w:w="2520" w:type="dxa"/>
            <w:vMerge w:val="restart"/>
            <w:vAlign w:val="center"/>
          </w:tcPr>
          <w:p w:rsidR="00132DB1" w:rsidRPr="001F3C5F" w:rsidRDefault="00132DB1" w:rsidP="00352BA7">
            <w:pPr>
              <w:jc w:val="center"/>
              <w:rPr>
                <w:rFonts w:asciiTheme="majorBidi" w:hAnsiTheme="majorBidi" w:cstheme="majorBidi"/>
                <w:sz w:val="24"/>
                <w:szCs w:val="24"/>
                <w:lang w:val="en-US"/>
              </w:rPr>
            </w:pPr>
            <w:r w:rsidRPr="001F3C5F">
              <w:rPr>
                <w:rFonts w:asciiTheme="majorBidi" w:hAnsiTheme="majorBidi" w:cstheme="majorBidi"/>
                <w:sz w:val="24"/>
                <w:szCs w:val="24"/>
                <w:lang w:val="en-US"/>
              </w:rPr>
              <w:t>King Fahad university for petroleum and minerals.</w:t>
            </w:r>
          </w:p>
        </w:tc>
        <w:tc>
          <w:tcPr>
            <w:tcW w:w="900" w:type="dxa"/>
            <w:vAlign w:val="center"/>
          </w:tcPr>
          <w:p w:rsidR="00132DB1" w:rsidRPr="001F3C5F" w:rsidRDefault="00132DB1" w:rsidP="00352BA7">
            <w:pPr>
              <w:jc w:val="center"/>
              <w:rPr>
                <w:rFonts w:asciiTheme="majorBidi" w:hAnsiTheme="majorBidi" w:cstheme="majorBidi"/>
                <w:color w:val="000000"/>
                <w:sz w:val="24"/>
                <w:szCs w:val="24"/>
                <w:lang w:val="en-US"/>
              </w:rPr>
            </w:pPr>
            <w:r w:rsidRPr="001F3C5F">
              <w:rPr>
                <w:rFonts w:asciiTheme="majorBidi" w:hAnsiTheme="majorBidi" w:cstheme="majorBidi"/>
                <w:color w:val="000000"/>
                <w:sz w:val="24"/>
                <w:szCs w:val="24"/>
                <w:lang w:val="en-US"/>
              </w:rPr>
              <w:t>Low</w:t>
            </w:r>
          </w:p>
        </w:tc>
        <w:tc>
          <w:tcPr>
            <w:tcW w:w="1179" w:type="dxa"/>
            <w:vAlign w:val="center"/>
          </w:tcPr>
          <w:p w:rsidR="00132DB1" w:rsidRPr="001F3C5F" w:rsidRDefault="00132DB1" w:rsidP="00352BA7">
            <w:pPr>
              <w:jc w:val="center"/>
              <w:rPr>
                <w:rFonts w:asciiTheme="majorBidi" w:hAnsiTheme="majorBidi" w:cstheme="majorBidi"/>
                <w:color w:val="000000"/>
                <w:sz w:val="24"/>
                <w:szCs w:val="24"/>
                <w:lang w:val="en-US"/>
              </w:rPr>
            </w:pPr>
            <w:r w:rsidRPr="001F3C5F">
              <w:rPr>
                <w:rFonts w:asciiTheme="majorBidi" w:hAnsiTheme="majorBidi" w:cstheme="majorBidi"/>
                <w:color w:val="000000"/>
                <w:sz w:val="24"/>
                <w:szCs w:val="24"/>
                <w:lang w:val="en-US"/>
              </w:rPr>
              <w:t>94</w:t>
            </w:r>
          </w:p>
        </w:tc>
        <w:tc>
          <w:tcPr>
            <w:tcW w:w="1418" w:type="dxa"/>
          </w:tcPr>
          <w:p w:rsidR="00132DB1" w:rsidRPr="001F3C5F" w:rsidRDefault="00132DB1" w:rsidP="00352BA7">
            <w:pPr>
              <w:jc w:val="center"/>
              <w:rPr>
                <w:rFonts w:asciiTheme="majorBidi" w:hAnsiTheme="majorBidi" w:cstheme="majorBidi"/>
                <w:sz w:val="24"/>
                <w:szCs w:val="24"/>
              </w:rPr>
            </w:pPr>
            <w:r w:rsidRPr="001F3C5F">
              <w:rPr>
                <w:rFonts w:asciiTheme="majorBidi" w:hAnsiTheme="majorBidi" w:cstheme="majorBidi"/>
                <w:sz w:val="24"/>
                <w:szCs w:val="24"/>
              </w:rPr>
              <w:t>3.336</w:t>
            </w:r>
          </w:p>
        </w:tc>
        <w:tc>
          <w:tcPr>
            <w:tcW w:w="1134" w:type="dxa"/>
            <w:vMerge w:val="restart"/>
            <w:vAlign w:val="center"/>
          </w:tcPr>
          <w:p w:rsidR="00132DB1" w:rsidRPr="001F3C5F" w:rsidRDefault="00132DB1" w:rsidP="00352BA7">
            <w:pPr>
              <w:jc w:val="center"/>
              <w:rPr>
                <w:rFonts w:asciiTheme="majorBidi" w:hAnsiTheme="majorBidi" w:cstheme="majorBidi"/>
                <w:sz w:val="24"/>
                <w:szCs w:val="24"/>
              </w:rPr>
            </w:pPr>
            <w:r w:rsidRPr="001F3C5F">
              <w:rPr>
                <w:rFonts w:asciiTheme="majorBidi" w:hAnsiTheme="majorBidi" w:cstheme="majorBidi"/>
                <w:sz w:val="24"/>
                <w:szCs w:val="24"/>
              </w:rPr>
              <w:t>-2.979</w:t>
            </w:r>
          </w:p>
        </w:tc>
        <w:tc>
          <w:tcPr>
            <w:tcW w:w="1331" w:type="dxa"/>
            <w:vMerge w:val="restart"/>
            <w:vAlign w:val="center"/>
          </w:tcPr>
          <w:p w:rsidR="00132DB1" w:rsidRPr="001F3C5F" w:rsidRDefault="00132DB1" w:rsidP="00352BA7">
            <w:pPr>
              <w:jc w:val="center"/>
              <w:rPr>
                <w:rFonts w:asciiTheme="majorBidi" w:hAnsiTheme="majorBidi" w:cstheme="majorBidi"/>
                <w:sz w:val="24"/>
                <w:szCs w:val="24"/>
              </w:rPr>
            </w:pPr>
            <w:r w:rsidRPr="001F3C5F">
              <w:rPr>
                <w:rFonts w:asciiTheme="majorBidi" w:hAnsiTheme="majorBidi" w:cstheme="majorBidi"/>
                <w:sz w:val="24"/>
                <w:szCs w:val="24"/>
              </w:rPr>
              <w:t>1, 1316</w:t>
            </w:r>
          </w:p>
        </w:tc>
        <w:tc>
          <w:tcPr>
            <w:tcW w:w="562" w:type="dxa"/>
            <w:vMerge w:val="restart"/>
            <w:vAlign w:val="center"/>
          </w:tcPr>
          <w:p w:rsidR="00132DB1" w:rsidRPr="001F3C5F" w:rsidRDefault="00132DB1" w:rsidP="00352BA7">
            <w:pPr>
              <w:jc w:val="center"/>
              <w:rPr>
                <w:rFonts w:asciiTheme="majorBidi" w:hAnsiTheme="majorBidi" w:cstheme="majorBidi"/>
                <w:sz w:val="24"/>
                <w:szCs w:val="24"/>
                <w:lang w:val="en-US"/>
              </w:rPr>
            </w:pPr>
            <w:r w:rsidRPr="001F3C5F">
              <w:rPr>
                <w:rFonts w:asciiTheme="majorBidi" w:hAnsiTheme="majorBidi" w:cstheme="majorBidi"/>
                <w:sz w:val="24"/>
                <w:szCs w:val="24"/>
                <w:lang w:val="en-US"/>
              </w:rPr>
              <w:t>.00</w:t>
            </w:r>
          </w:p>
        </w:tc>
      </w:tr>
      <w:tr w:rsidR="00132DB1" w:rsidRPr="001F3C5F" w:rsidTr="00132DB1">
        <w:trPr>
          <w:trHeight w:val="20"/>
          <w:jc w:val="center"/>
        </w:trPr>
        <w:tc>
          <w:tcPr>
            <w:tcW w:w="2520"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900"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High</w:t>
            </w:r>
          </w:p>
        </w:tc>
        <w:tc>
          <w:tcPr>
            <w:tcW w:w="1179"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1224</w:t>
            </w:r>
          </w:p>
        </w:tc>
        <w:tc>
          <w:tcPr>
            <w:tcW w:w="1418" w:type="dxa"/>
          </w:tcPr>
          <w:p w:rsidR="00132DB1" w:rsidRPr="001F3C5F" w:rsidRDefault="00132DB1" w:rsidP="00352BA7">
            <w:pPr>
              <w:jc w:val="center"/>
              <w:rPr>
                <w:rFonts w:asciiTheme="majorBidi" w:hAnsiTheme="majorBidi" w:cstheme="majorBidi"/>
                <w:sz w:val="24"/>
                <w:szCs w:val="24"/>
              </w:rPr>
            </w:pPr>
            <w:r w:rsidRPr="001F3C5F">
              <w:rPr>
                <w:rFonts w:asciiTheme="majorBidi" w:hAnsiTheme="majorBidi" w:cstheme="majorBidi"/>
                <w:sz w:val="24"/>
                <w:szCs w:val="24"/>
              </w:rPr>
              <w:t>3.652</w:t>
            </w:r>
          </w:p>
        </w:tc>
        <w:tc>
          <w:tcPr>
            <w:tcW w:w="1134"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1331"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562" w:type="dxa"/>
            <w:vMerge/>
            <w:vAlign w:val="center"/>
          </w:tcPr>
          <w:p w:rsidR="00132DB1" w:rsidRPr="001F3C5F" w:rsidRDefault="00132DB1" w:rsidP="00352BA7">
            <w:pPr>
              <w:jc w:val="center"/>
              <w:rPr>
                <w:rFonts w:asciiTheme="majorBidi" w:hAnsiTheme="majorBidi" w:cstheme="majorBidi"/>
                <w:sz w:val="24"/>
                <w:szCs w:val="24"/>
                <w:lang w:val="en-US"/>
              </w:rPr>
            </w:pPr>
          </w:p>
        </w:tc>
      </w:tr>
      <w:tr w:rsidR="00132DB1" w:rsidRPr="001F3C5F" w:rsidTr="00132DB1">
        <w:trPr>
          <w:trHeight w:val="20"/>
          <w:jc w:val="center"/>
        </w:trPr>
        <w:tc>
          <w:tcPr>
            <w:tcW w:w="2520" w:type="dxa"/>
            <w:vMerge w:val="restart"/>
            <w:vAlign w:val="center"/>
          </w:tcPr>
          <w:p w:rsidR="00132DB1" w:rsidRPr="001F3C5F" w:rsidRDefault="00132DB1" w:rsidP="00352BA7">
            <w:pPr>
              <w:jc w:val="center"/>
              <w:rPr>
                <w:rFonts w:asciiTheme="majorBidi" w:hAnsiTheme="majorBidi" w:cstheme="majorBidi"/>
                <w:sz w:val="24"/>
                <w:szCs w:val="24"/>
                <w:lang w:val="en-US"/>
              </w:rPr>
            </w:pPr>
            <w:r w:rsidRPr="001F3C5F">
              <w:rPr>
                <w:rFonts w:asciiTheme="majorBidi" w:hAnsiTheme="majorBidi" w:cstheme="majorBidi"/>
                <w:sz w:val="24"/>
                <w:szCs w:val="24"/>
                <w:lang w:val="en-US"/>
              </w:rPr>
              <w:t>King Khalid university.</w:t>
            </w:r>
          </w:p>
        </w:tc>
        <w:tc>
          <w:tcPr>
            <w:tcW w:w="900" w:type="dxa"/>
            <w:vAlign w:val="center"/>
          </w:tcPr>
          <w:p w:rsidR="00132DB1" w:rsidRPr="001F3C5F" w:rsidRDefault="00132DB1" w:rsidP="00352BA7">
            <w:pPr>
              <w:jc w:val="center"/>
              <w:rPr>
                <w:rFonts w:asciiTheme="majorBidi" w:hAnsiTheme="majorBidi" w:cstheme="majorBidi"/>
                <w:color w:val="000000"/>
                <w:sz w:val="24"/>
                <w:szCs w:val="24"/>
                <w:lang w:val="en-US"/>
              </w:rPr>
            </w:pPr>
            <w:r w:rsidRPr="001F3C5F">
              <w:rPr>
                <w:rFonts w:asciiTheme="majorBidi" w:hAnsiTheme="majorBidi" w:cstheme="majorBidi"/>
                <w:color w:val="000000"/>
                <w:sz w:val="24"/>
                <w:szCs w:val="24"/>
                <w:lang w:val="en-US"/>
              </w:rPr>
              <w:t>Low</w:t>
            </w:r>
          </w:p>
        </w:tc>
        <w:tc>
          <w:tcPr>
            <w:tcW w:w="1179" w:type="dxa"/>
            <w:vAlign w:val="center"/>
          </w:tcPr>
          <w:p w:rsidR="00132DB1" w:rsidRPr="001F3C5F" w:rsidRDefault="00132DB1" w:rsidP="00352BA7">
            <w:pPr>
              <w:jc w:val="center"/>
              <w:rPr>
                <w:rFonts w:asciiTheme="majorBidi" w:hAnsiTheme="majorBidi" w:cstheme="majorBidi"/>
                <w:color w:val="000000"/>
                <w:sz w:val="24"/>
                <w:szCs w:val="24"/>
                <w:lang w:val="en-US"/>
              </w:rPr>
            </w:pPr>
            <w:r w:rsidRPr="001F3C5F">
              <w:rPr>
                <w:rFonts w:asciiTheme="majorBidi" w:hAnsiTheme="majorBidi" w:cstheme="majorBidi"/>
                <w:color w:val="000000"/>
                <w:sz w:val="24"/>
                <w:szCs w:val="24"/>
                <w:lang w:val="en-US"/>
              </w:rPr>
              <w:t>7981</w:t>
            </w:r>
          </w:p>
        </w:tc>
        <w:tc>
          <w:tcPr>
            <w:tcW w:w="1418"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tl/>
              </w:rPr>
              <w:t>2.985</w:t>
            </w:r>
          </w:p>
        </w:tc>
        <w:tc>
          <w:tcPr>
            <w:tcW w:w="1134" w:type="dxa"/>
            <w:vMerge w:val="restart"/>
            <w:vAlign w:val="center"/>
          </w:tcPr>
          <w:p w:rsidR="00132DB1" w:rsidRPr="001F3C5F" w:rsidRDefault="00132DB1" w:rsidP="00352BA7">
            <w:pPr>
              <w:jc w:val="center"/>
              <w:rPr>
                <w:rFonts w:asciiTheme="majorBidi" w:hAnsiTheme="majorBidi" w:cstheme="majorBidi"/>
                <w:sz w:val="24"/>
                <w:szCs w:val="24"/>
              </w:rPr>
            </w:pPr>
            <w:r w:rsidRPr="001F3C5F">
              <w:rPr>
                <w:rFonts w:asciiTheme="majorBidi" w:hAnsiTheme="majorBidi" w:cstheme="majorBidi"/>
                <w:sz w:val="24"/>
                <w:szCs w:val="24"/>
              </w:rPr>
              <w:t>-2.663</w:t>
            </w:r>
          </w:p>
        </w:tc>
        <w:tc>
          <w:tcPr>
            <w:tcW w:w="1331" w:type="dxa"/>
            <w:vMerge w:val="restart"/>
            <w:vAlign w:val="center"/>
          </w:tcPr>
          <w:p w:rsidR="00132DB1" w:rsidRPr="001F3C5F" w:rsidRDefault="00132DB1" w:rsidP="00352BA7">
            <w:pPr>
              <w:jc w:val="center"/>
              <w:rPr>
                <w:rFonts w:asciiTheme="majorBidi" w:hAnsiTheme="majorBidi" w:cstheme="majorBidi"/>
                <w:sz w:val="24"/>
                <w:szCs w:val="24"/>
              </w:rPr>
            </w:pPr>
            <w:r w:rsidRPr="001F3C5F">
              <w:rPr>
                <w:rFonts w:asciiTheme="majorBidi" w:hAnsiTheme="majorBidi" w:cstheme="majorBidi"/>
                <w:sz w:val="24"/>
                <w:szCs w:val="24"/>
              </w:rPr>
              <w:t>1, 8820</w:t>
            </w:r>
          </w:p>
        </w:tc>
        <w:tc>
          <w:tcPr>
            <w:tcW w:w="562" w:type="dxa"/>
            <w:vMerge w:val="restart"/>
            <w:vAlign w:val="center"/>
          </w:tcPr>
          <w:p w:rsidR="00132DB1" w:rsidRPr="001F3C5F" w:rsidRDefault="00132DB1" w:rsidP="00352BA7">
            <w:pPr>
              <w:jc w:val="center"/>
              <w:rPr>
                <w:rFonts w:asciiTheme="majorBidi" w:hAnsiTheme="majorBidi" w:cstheme="majorBidi"/>
                <w:sz w:val="24"/>
                <w:szCs w:val="24"/>
                <w:lang w:val="en-US"/>
              </w:rPr>
            </w:pPr>
            <w:r w:rsidRPr="001F3C5F">
              <w:rPr>
                <w:rFonts w:asciiTheme="majorBidi" w:hAnsiTheme="majorBidi" w:cstheme="majorBidi"/>
                <w:sz w:val="24"/>
                <w:szCs w:val="24"/>
                <w:lang w:val="en-US"/>
              </w:rPr>
              <w:t>.01</w:t>
            </w:r>
          </w:p>
        </w:tc>
      </w:tr>
      <w:tr w:rsidR="00132DB1" w:rsidRPr="001F3C5F" w:rsidTr="00132DB1">
        <w:trPr>
          <w:trHeight w:val="20"/>
          <w:jc w:val="center"/>
        </w:trPr>
        <w:tc>
          <w:tcPr>
            <w:tcW w:w="2520"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900"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High</w:t>
            </w:r>
          </w:p>
        </w:tc>
        <w:tc>
          <w:tcPr>
            <w:tcW w:w="1179"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841</w:t>
            </w:r>
          </w:p>
        </w:tc>
        <w:tc>
          <w:tcPr>
            <w:tcW w:w="1418"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tl/>
              </w:rPr>
              <w:t>3.073</w:t>
            </w:r>
          </w:p>
        </w:tc>
        <w:tc>
          <w:tcPr>
            <w:tcW w:w="1134"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1331"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562" w:type="dxa"/>
            <w:vMerge/>
            <w:vAlign w:val="center"/>
          </w:tcPr>
          <w:p w:rsidR="00132DB1" w:rsidRPr="001F3C5F" w:rsidRDefault="00132DB1" w:rsidP="00352BA7">
            <w:pPr>
              <w:jc w:val="center"/>
              <w:rPr>
                <w:rFonts w:asciiTheme="majorBidi" w:hAnsiTheme="majorBidi" w:cstheme="majorBidi"/>
                <w:sz w:val="24"/>
                <w:szCs w:val="24"/>
                <w:lang w:val="en-US"/>
              </w:rPr>
            </w:pPr>
          </w:p>
        </w:tc>
      </w:tr>
      <w:tr w:rsidR="00132DB1" w:rsidRPr="001F3C5F" w:rsidTr="00132DB1">
        <w:trPr>
          <w:trHeight w:val="20"/>
          <w:jc w:val="center"/>
        </w:trPr>
        <w:tc>
          <w:tcPr>
            <w:tcW w:w="2520" w:type="dxa"/>
            <w:vMerge w:val="restart"/>
            <w:vAlign w:val="center"/>
          </w:tcPr>
          <w:p w:rsidR="00132DB1" w:rsidRPr="001F3C5F" w:rsidRDefault="00132DB1" w:rsidP="00352BA7">
            <w:pPr>
              <w:jc w:val="center"/>
              <w:rPr>
                <w:rFonts w:asciiTheme="majorBidi" w:hAnsiTheme="majorBidi" w:cstheme="majorBidi"/>
                <w:sz w:val="24"/>
                <w:szCs w:val="24"/>
                <w:lang w:val="en-US"/>
              </w:rPr>
            </w:pPr>
            <w:r w:rsidRPr="001F3C5F">
              <w:rPr>
                <w:rFonts w:asciiTheme="majorBidi" w:hAnsiTheme="majorBidi" w:cstheme="majorBidi"/>
                <w:sz w:val="24"/>
                <w:szCs w:val="24"/>
                <w:lang w:val="en-US"/>
              </w:rPr>
              <w:t>Um Alqura university.</w:t>
            </w:r>
          </w:p>
        </w:tc>
        <w:tc>
          <w:tcPr>
            <w:tcW w:w="900" w:type="dxa"/>
            <w:vAlign w:val="center"/>
          </w:tcPr>
          <w:p w:rsidR="00132DB1" w:rsidRPr="001F3C5F" w:rsidRDefault="00132DB1" w:rsidP="00352BA7">
            <w:pPr>
              <w:jc w:val="center"/>
              <w:rPr>
                <w:rFonts w:asciiTheme="majorBidi" w:hAnsiTheme="majorBidi" w:cstheme="majorBidi"/>
                <w:color w:val="000000"/>
                <w:sz w:val="24"/>
                <w:szCs w:val="24"/>
                <w:lang w:val="en-US"/>
              </w:rPr>
            </w:pPr>
            <w:r w:rsidRPr="001F3C5F">
              <w:rPr>
                <w:rFonts w:asciiTheme="majorBidi" w:hAnsiTheme="majorBidi" w:cstheme="majorBidi"/>
                <w:color w:val="000000"/>
                <w:sz w:val="24"/>
                <w:szCs w:val="24"/>
                <w:lang w:val="en-US"/>
              </w:rPr>
              <w:t>Low</w:t>
            </w:r>
          </w:p>
        </w:tc>
        <w:tc>
          <w:tcPr>
            <w:tcW w:w="1179" w:type="dxa"/>
            <w:vAlign w:val="center"/>
          </w:tcPr>
          <w:p w:rsidR="00132DB1" w:rsidRPr="001F3C5F" w:rsidRDefault="00132DB1" w:rsidP="00352BA7">
            <w:pPr>
              <w:jc w:val="center"/>
              <w:rPr>
                <w:rFonts w:asciiTheme="majorBidi" w:hAnsiTheme="majorBidi" w:cstheme="majorBidi"/>
                <w:color w:val="000000"/>
                <w:sz w:val="24"/>
                <w:szCs w:val="24"/>
                <w:lang w:val="en-US"/>
              </w:rPr>
            </w:pPr>
            <w:r w:rsidRPr="001F3C5F">
              <w:rPr>
                <w:rFonts w:asciiTheme="majorBidi" w:hAnsiTheme="majorBidi" w:cstheme="majorBidi"/>
                <w:color w:val="000000"/>
                <w:sz w:val="24"/>
                <w:szCs w:val="24"/>
                <w:lang w:val="en-US"/>
              </w:rPr>
              <w:t>8838</w:t>
            </w:r>
          </w:p>
        </w:tc>
        <w:tc>
          <w:tcPr>
            <w:tcW w:w="1418" w:type="dxa"/>
          </w:tcPr>
          <w:p w:rsidR="00132DB1" w:rsidRPr="001F3C5F" w:rsidRDefault="00132DB1" w:rsidP="00352BA7">
            <w:pPr>
              <w:jc w:val="center"/>
              <w:rPr>
                <w:rFonts w:asciiTheme="majorBidi" w:hAnsiTheme="majorBidi" w:cstheme="majorBidi"/>
                <w:sz w:val="24"/>
                <w:szCs w:val="24"/>
              </w:rPr>
            </w:pPr>
            <w:r w:rsidRPr="001F3C5F">
              <w:rPr>
                <w:rFonts w:asciiTheme="majorBidi" w:hAnsiTheme="majorBidi" w:cstheme="majorBidi"/>
                <w:sz w:val="24"/>
                <w:szCs w:val="24"/>
              </w:rPr>
              <w:t>3.309</w:t>
            </w:r>
          </w:p>
        </w:tc>
        <w:tc>
          <w:tcPr>
            <w:tcW w:w="1134" w:type="dxa"/>
            <w:vMerge w:val="restart"/>
            <w:vAlign w:val="center"/>
          </w:tcPr>
          <w:p w:rsidR="00132DB1" w:rsidRPr="001F3C5F" w:rsidRDefault="00132DB1" w:rsidP="00352BA7">
            <w:pPr>
              <w:jc w:val="center"/>
              <w:rPr>
                <w:rFonts w:asciiTheme="majorBidi" w:hAnsiTheme="majorBidi" w:cstheme="majorBidi"/>
                <w:sz w:val="24"/>
                <w:szCs w:val="24"/>
              </w:rPr>
            </w:pPr>
            <w:r w:rsidRPr="001F3C5F">
              <w:rPr>
                <w:rFonts w:asciiTheme="majorBidi" w:hAnsiTheme="majorBidi" w:cstheme="majorBidi"/>
                <w:sz w:val="24"/>
                <w:szCs w:val="24"/>
              </w:rPr>
              <w:t>-23.486</w:t>
            </w:r>
          </w:p>
        </w:tc>
        <w:tc>
          <w:tcPr>
            <w:tcW w:w="1331" w:type="dxa"/>
            <w:vMerge w:val="restart"/>
            <w:vAlign w:val="center"/>
          </w:tcPr>
          <w:p w:rsidR="00132DB1" w:rsidRPr="001F3C5F" w:rsidRDefault="00132DB1" w:rsidP="00352BA7">
            <w:pPr>
              <w:jc w:val="center"/>
              <w:rPr>
                <w:rFonts w:asciiTheme="majorBidi" w:hAnsiTheme="majorBidi" w:cstheme="majorBidi"/>
                <w:sz w:val="24"/>
                <w:szCs w:val="24"/>
              </w:rPr>
            </w:pPr>
            <w:r w:rsidRPr="001F3C5F">
              <w:rPr>
                <w:rFonts w:asciiTheme="majorBidi" w:hAnsiTheme="majorBidi" w:cstheme="majorBidi"/>
                <w:sz w:val="24"/>
                <w:szCs w:val="24"/>
              </w:rPr>
              <w:t>1, 10180</w:t>
            </w:r>
          </w:p>
        </w:tc>
        <w:tc>
          <w:tcPr>
            <w:tcW w:w="562" w:type="dxa"/>
            <w:vMerge w:val="restart"/>
            <w:vAlign w:val="center"/>
          </w:tcPr>
          <w:p w:rsidR="00132DB1" w:rsidRPr="001F3C5F" w:rsidRDefault="00132DB1" w:rsidP="00352BA7">
            <w:pPr>
              <w:jc w:val="center"/>
              <w:rPr>
                <w:rFonts w:asciiTheme="majorBidi" w:hAnsiTheme="majorBidi" w:cstheme="majorBidi"/>
                <w:sz w:val="24"/>
                <w:szCs w:val="24"/>
                <w:lang w:val="en-US"/>
              </w:rPr>
            </w:pPr>
            <w:r w:rsidRPr="001F3C5F">
              <w:rPr>
                <w:rFonts w:asciiTheme="majorBidi" w:hAnsiTheme="majorBidi" w:cstheme="majorBidi"/>
                <w:sz w:val="24"/>
                <w:szCs w:val="24"/>
                <w:lang w:val="en-US"/>
              </w:rPr>
              <w:t>.00</w:t>
            </w:r>
          </w:p>
        </w:tc>
      </w:tr>
      <w:tr w:rsidR="00132DB1" w:rsidRPr="001F3C5F" w:rsidTr="00132DB1">
        <w:trPr>
          <w:trHeight w:val="20"/>
          <w:jc w:val="center"/>
        </w:trPr>
        <w:tc>
          <w:tcPr>
            <w:tcW w:w="2520"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900"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High</w:t>
            </w:r>
          </w:p>
        </w:tc>
        <w:tc>
          <w:tcPr>
            <w:tcW w:w="1179"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1344</w:t>
            </w:r>
          </w:p>
        </w:tc>
        <w:tc>
          <w:tcPr>
            <w:tcW w:w="1418" w:type="dxa"/>
          </w:tcPr>
          <w:p w:rsidR="00132DB1" w:rsidRPr="001F3C5F" w:rsidRDefault="00132DB1" w:rsidP="00352BA7">
            <w:pPr>
              <w:jc w:val="center"/>
              <w:rPr>
                <w:rFonts w:asciiTheme="majorBidi" w:hAnsiTheme="majorBidi" w:cstheme="majorBidi"/>
                <w:sz w:val="24"/>
                <w:szCs w:val="24"/>
              </w:rPr>
            </w:pPr>
            <w:r w:rsidRPr="001F3C5F">
              <w:rPr>
                <w:rFonts w:asciiTheme="majorBidi" w:hAnsiTheme="majorBidi" w:cstheme="majorBidi"/>
                <w:sz w:val="24"/>
                <w:szCs w:val="24"/>
              </w:rPr>
              <w:t>3.956</w:t>
            </w:r>
          </w:p>
        </w:tc>
        <w:tc>
          <w:tcPr>
            <w:tcW w:w="1134"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1331"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562" w:type="dxa"/>
            <w:vMerge/>
            <w:vAlign w:val="center"/>
          </w:tcPr>
          <w:p w:rsidR="00132DB1" w:rsidRPr="001F3C5F" w:rsidRDefault="00132DB1" w:rsidP="00352BA7">
            <w:pPr>
              <w:jc w:val="center"/>
              <w:rPr>
                <w:rFonts w:asciiTheme="majorBidi" w:hAnsiTheme="majorBidi" w:cstheme="majorBidi"/>
                <w:sz w:val="24"/>
                <w:szCs w:val="24"/>
                <w:lang w:val="en-US"/>
              </w:rPr>
            </w:pPr>
          </w:p>
        </w:tc>
      </w:tr>
      <w:tr w:rsidR="00132DB1" w:rsidRPr="001F3C5F" w:rsidTr="00132DB1">
        <w:trPr>
          <w:trHeight w:val="20"/>
          <w:jc w:val="center"/>
        </w:trPr>
        <w:tc>
          <w:tcPr>
            <w:tcW w:w="2520" w:type="dxa"/>
            <w:vMerge w:val="restart"/>
            <w:vAlign w:val="center"/>
          </w:tcPr>
          <w:p w:rsidR="00132DB1" w:rsidRPr="001F3C5F" w:rsidRDefault="00132DB1" w:rsidP="00352BA7">
            <w:pPr>
              <w:jc w:val="center"/>
              <w:rPr>
                <w:rFonts w:asciiTheme="majorBidi" w:hAnsiTheme="majorBidi" w:cstheme="majorBidi"/>
                <w:sz w:val="24"/>
                <w:szCs w:val="24"/>
                <w:lang w:val="en-US"/>
              </w:rPr>
            </w:pPr>
            <w:r w:rsidRPr="001F3C5F">
              <w:rPr>
                <w:rFonts w:asciiTheme="majorBidi" w:hAnsiTheme="majorBidi" w:cstheme="majorBidi"/>
                <w:sz w:val="24"/>
                <w:szCs w:val="24"/>
                <w:lang w:val="en-US"/>
              </w:rPr>
              <w:t>King Abdulaziz university.</w:t>
            </w:r>
          </w:p>
        </w:tc>
        <w:tc>
          <w:tcPr>
            <w:tcW w:w="900" w:type="dxa"/>
            <w:vAlign w:val="center"/>
          </w:tcPr>
          <w:p w:rsidR="00132DB1" w:rsidRPr="001F3C5F" w:rsidRDefault="00132DB1" w:rsidP="00352BA7">
            <w:pPr>
              <w:jc w:val="center"/>
              <w:rPr>
                <w:rFonts w:asciiTheme="majorBidi" w:hAnsiTheme="majorBidi" w:cstheme="majorBidi"/>
                <w:color w:val="000000"/>
                <w:sz w:val="24"/>
                <w:szCs w:val="24"/>
                <w:lang w:val="en-US"/>
              </w:rPr>
            </w:pPr>
            <w:r w:rsidRPr="001F3C5F">
              <w:rPr>
                <w:rFonts w:asciiTheme="majorBidi" w:hAnsiTheme="majorBidi" w:cstheme="majorBidi"/>
                <w:color w:val="000000"/>
                <w:sz w:val="24"/>
                <w:szCs w:val="24"/>
                <w:lang w:val="en-US"/>
              </w:rPr>
              <w:t>Low</w:t>
            </w:r>
          </w:p>
        </w:tc>
        <w:tc>
          <w:tcPr>
            <w:tcW w:w="1179" w:type="dxa"/>
            <w:vAlign w:val="center"/>
          </w:tcPr>
          <w:p w:rsidR="00132DB1" w:rsidRPr="001F3C5F" w:rsidRDefault="00132DB1" w:rsidP="00352BA7">
            <w:pPr>
              <w:jc w:val="center"/>
              <w:rPr>
                <w:rFonts w:asciiTheme="majorBidi" w:hAnsiTheme="majorBidi" w:cstheme="majorBidi"/>
                <w:color w:val="000000"/>
                <w:sz w:val="24"/>
                <w:szCs w:val="24"/>
                <w:lang w:val="en-US"/>
              </w:rPr>
            </w:pPr>
            <w:r w:rsidRPr="001F3C5F">
              <w:rPr>
                <w:rFonts w:asciiTheme="majorBidi" w:hAnsiTheme="majorBidi" w:cstheme="majorBidi"/>
                <w:color w:val="000000"/>
                <w:sz w:val="24"/>
                <w:szCs w:val="24"/>
                <w:lang w:val="en-US"/>
              </w:rPr>
              <w:t>4168</w:t>
            </w:r>
          </w:p>
        </w:tc>
        <w:tc>
          <w:tcPr>
            <w:tcW w:w="1418"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tl/>
              </w:rPr>
              <w:t>3.369</w:t>
            </w:r>
          </w:p>
        </w:tc>
        <w:tc>
          <w:tcPr>
            <w:tcW w:w="1134" w:type="dxa"/>
            <w:vMerge w:val="restart"/>
            <w:vAlign w:val="center"/>
          </w:tcPr>
          <w:p w:rsidR="00132DB1" w:rsidRPr="001F3C5F" w:rsidRDefault="00132DB1" w:rsidP="00352BA7">
            <w:pPr>
              <w:jc w:val="center"/>
              <w:rPr>
                <w:rFonts w:asciiTheme="majorBidi" w:hAnsiTheme="majorBidi" w:cstheme="majorBidi"/>
                <w:sz w:val="24"/>
                <w:szCs w:val="24"/>
              </w:rPr>
            </w:pPr>
            <w:r w:rsidRPr="001F3C5F">
              <w:rPr>
                <w:rFonts w:asciiTheme="majorBidi" w:hAnsiTheme="majorBidi" w:cstheme="majorBidi"/>
                <w:sz w:val="24"/>
                <w:szCs w:val="24"/>
              </w:rPr>
              <w:t>-23.243</w:t>
            </w:r>
          </w:p>
        </w:tc>
        <w:tc>
          <w:tcPr>
            <w:tcW w:w="1331" w:type="dxa"/>
            <w:vMerge w:val="restart"/>
            <w:vAlign w:val="center"/>
          </w:tcPr>
          <w:p w:rsidR="00132DB1" w:rsidRPr="001F3C5F" w:rsidRDefault="00132DB1" w:rsidP="00352BA7">
            <w:pPr>
              <w:jc w:val="center"/>
              <w:rPr>
                <w:rFonts w:asciiTheme="majorBidi" w:hAnsiTheme="majorBidi" w:cstheme="majorBidi"/>
                <w:sz w:val="24"/>
                <w:szCs w:val="24"/>
              </w:rPr>
            </w:pPr>
            <w:r w:rsidRPr="001F3C5F">
              <w:rPr>
                <w:rFonts w:asciiTheme="majorBidi" w:hAnsiTheme="majorBidi" w:cstheme="majorBidi"/>
                <w:sz w:val="24"/>
                <w:szCs w:val="24"/>
              </w:rPr>
              <w:t>1, 5971</w:t>
            </w:r>
          </w:p>
        </w:tc>
        <w:tc>
          <w:tcPr>
            <w:tcW w:w="562" w:type="dxa"/>
            <w:vMerge w:val="restart"/>
            <w:vAlign w:val="center"/>
          </w:tcPr>
          <w:p w:rsidR="00132DB1" w:rsidRPr="001F3C5F" w:rsidRDefault="00132DB1" w:rsidP="00352BA7">
            <w:pPr>
              <w:jc w:val="center"/>
              <w:rPr>
                <w:rFonts w:asciiTheme="majorBidi" w:hAnsiTheme="majorBidi" w:cstheme="majorBidi"/>
                <w:sz w:val="24"/>
                <w:szCs w:val="24"/>
                <w:lang w:val="en-US"/>
              </w:rPr>
            </w:pPr>
            <w:r w:rsidRPr="001F3C5F">
              <w:rPr>
                <w:rFonts w:asciiTheme="majorBidi" w:hAnsiTheme="majorBidi" w:cstheme="majorBidi"/>
                <w:sz w:val="24"/>
                <w:szCs w:val="24"/>
                <w:lang w:val="en-US"/>
              </w:rPr>
              <w:t>.00</w:t>
            </w:r>
          </w:p>
        </w:tc>
      </w:tr>
      <w:tr w:rsidR="00132DB1" w:rsidRPr="001F3C5F" w:rsidTr="00132DB1">
        <w:trPr>
          <w:trHeight w:val="20"/>
          <w:jc w:val="center"/>
        </w:trPr>
        <w:tc>
          <w:tcPr>
            <w:tcW w:w="2520"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900"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High</w:t>
            </w:r>
          </w:p>
        </w:tc>
        <w:tc>
          <w:tcPr>
            <w:tcW w:w="1179"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1805</w:t>
            </w:r>
          </w:p>
        </w:tc>
        <w:tc>
          <w:tcPr>
            <w:tcW w:w="1418"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tl/>
              </w:rPr>
              <w:t>3.737</w:t>
            </w:r>
          </w:p>
        </w:tc>
        <w:tc>
          <w:tcPr>
            <w:tcW w:w="1134"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1331"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562" w:type="dxa"/>
            <w:vMerge/>
            <w:vAlign w:val="center"/>
          </w:tcPr>
          <w:p w:rsidR="00132DB1" w:rsidRPr="001F3C5F" w:rsidRDefault="00132DB1" w:rsidP="00352BA7">
            <w:pPr>
              <w:jc w:val="center"/>
              <w:rPr>
                <w:rFonts w:asciiTheme="majorBidi" w:hAnsiTheme="majorBidi" w:cstheme="majorBidi"/>
                <w:sz w:val="24"/>
                <w:szCs w:val="24"/>
                <w:lang w:val="en-US"/>
              </w:rPr>
            </w:pPr>
          </w:p>
        </w:tc>
      </w:tr>
      <w:tr w:rsidR="00132DB1" w:rsidRPr="001F3C5F" w:rsidTr="00132DB1">
        <w:trPr>
          <w:trHeight w:val="20"/>
          <w:jc w:val="center"/>
        </w:trPr>
        <w:tc>
          <w:tcPr>
            <w:tcW w:w="2520" w:type="dxa"/>
            <w:vMerge w:val="restart"/>
            <w:vAlign w:val="center"/>
          </w:tcPr>
          <w:p w:rsidR="00132DB1" w:rsidRPr="001F3C5F" w:rsidRDefault="00132DB1" w:rsidP="00352BA7">
            <w:pPr>
              <w:jc w:val="center"/>
              <w:rPr>
                <w:rFonts w:asciiTheme="majorBidi" w:hAnsiTheme="majorBidi" w:cstheme="majorBidi"/>
                <w:sz w:val="24"/>
                <w:szCs w:val="24"/>
                <w:lang w:val="en-US"/>
              </w:rPr>
            </w:pPr>
            <w:r w:rsidRPr="001F3C5F">
              <w:rPr>
                <w:rFonts w:asciiTheme="majorBidi" w:hAnsiTheme="majorBidi" w:cstheme="majorBidi"/>
                <w:sz w:val="24"/>
                <w:szCs w:val="24"/>
                <w:lang w:val="en-US"/>
              </w:rPr>
              <w:t>King Saud university.</w:t>
            </w:r>
          </w:p>
        </w:tc>
        <w:tc>
          <w:tcPr>
            <w:tcW w:w="900" w:type="dxa"/>
            <w:vAlign w:val="center"/>
          </w:tcPr>
          <w:p w:rsidR="00132DB1" w:rsidRPr="001F3C5F" w:rsidRDefault="00132DB1" w:rsidP="00352BA7">
            <w:pPr>
              <w:jc w:val="center"/>
              <w:rPr>
                <w:rFonts w:asciiTheme="majorBidi" w:hAnsiTheme="majorBidi" w:cstheme="majorBidi"/>
                <w:color w:val="000000"/>
                <w:sz w:val="24"/>
                <w:szCs w:val="24"/>
                <w:lang w:val="en-US"/>
              </w:rPr>
            </w:pPr>
            <w:r w:rsidRPr="001F3C5F">
              <w:rPr>
                <w:rFonts w:asciiTheme="majorBidi" w:hAnsiTheme="majorBidi" w:cstheme="majorBidi"/>
                <w:color w:val="000000"/>
                <w:sz w:val="24"/>
                <w:szCs w:val="24"/>
                <w:lang w:val="en-US"/>
              </w:rPr>
              <w:t>Low</w:t>
            </w:r>
          </w:p>
        </w:tc>
        <w:tc>
          <w:tcPr>
            <w:tcW w:w="1179" w:type="dxa"/>
            <w:vAlign w:val="center"/>
          </w:tcPr>
          <w:p w:rsidR="00132DB1" w:rsidRPr="001F3C5F" w:rsidRDefault="00132DB1" w:rsidP="00352BA7">
            <w:pPr>
              <w:jc w:val="center"/>
              <w:rPr>
                <w:rFonts w:asciiTheme="majorBidi" w:hAnsiTheme="majorBidi" w:cstheme="majorBidi"/>
                <w:color w:val="000000"/>
                <w:sz w:val="24"/>
                <w:szCs w:val="24"/>
                <w:lang w:val="en-US"/>
              </w:rPr>
            </w:pPr>
            <w:r w:rsidRPr="001F3C5F">
              <w:rPr>
                <w:rFonts w:asciiTheme="majorBidi" w:hAnsiTheme="majorBidi" w:cstheme="majorBidi"/>
                <w:color w:val="000000"/>
                <w:sz w:val="24"/>
                <w:szCs w:val="24"/>
                <w:lang w:val="en-US"/>
              </w:rPr>
              <w:t>6748</w:t>
            </w:r>
          </w:p>
        </w:tc>
        <w:tc>
          <w:tcPr>
            <w:tcW w:w="1418"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tl/>
              </w:rPr>
              <w:t>3.401</w:t>
            </w:r>
          </w:p>
        </w:tc>
        <w:tc>
          <w:tcPr>
            <w:tcW w:w="1134" w:type="dxa"/>
            <w:vMerge w:val="restart"/>
            <w:vAlign w:val="center"/>
          </w:tcPr>
          <w:p w:rsidR="00132DB1" w:rsidRPr="001F3C5F" w:rsidRDefault="00132DB1" w:rsidP="00352BA7">
            <w:pPr>
              <w:jc w:val="center"/>
              <w:rPr>
                <w:rFonts w:asciiTheme="majorBidi" w:hAnsiTheme="majorBidi" w:cstheme="majorBidi"/>
                <w:sz w:val="24"/>
                <w:szCs w:val="24"/>
              </w:rPr>
            </w:pPr>
            <w:r w:rsidRPr="001F3C5F">
              <w:rPr>
                <w:rFonts w:asciiTheme="majorBidi" w:hAnsiTheme="majorBidi" w:cstheme="majorBidi"/>
                <w:sz w:val="24"/>
                <w:szCs w:val="24"/>
              </w:rPr>
              <w:t>-22.074</w:t>
            </w:r>
          </w:p>
        </w:tc>
        <w:tc>
          <w:tcPr>
            <w:tcW w:w="1331" w:type="dxa"/>
            <w:vMerge w:val="restart"/>
            <w:vAlign w:val="center"/>
          </w:tcPr>
          <w:p w:rsidR="00132DB1" w:rsidRPr="001F3C5F" w:rsidRDefault="00132DB1" w:rsidP="00352BA7">
            <w:pPr>
              <w:jc w:val="center"/>
              <w:rPr>
                <w:rFonts w:asciiTheme="majorBidi" w:hAnsiTheme="majorBidi" w:cstheme="majorBidi"/>
                <w:sz w:val="24"/>
                <w:szCs w:val="24"/>
              </w:rPr>
            </w:pPr>
            <w:r w:rsidRPr="001F3C5F">
              <w:rPr>
                <w:rFonts w:asciiTheme="majorBidi" w:hAnsiTheme="majorBidi" w:cstheme="majorBidi"/>
                <w:sz w:val="24"/>
                <w:szCs w:val="24"/>
              </w:rPr>
              <w:t>1, 9586</w:t>
            </w:r>
          </w:p>
        </w:tc>
        <w:tc>
          <w:tcPr>
            <w:tcW w:w="562" w:type="dxa"/>
            <w:vMerge w:val="restart"/>
            <w:vAlign w:val="center"/>
          </w:tcPr>
          <w:p w:rsidR="00132DB1" w:rsidRPr="001F3C5F" w:rsidRDefault="00132DB1" w:rsidP="00352BA7">
            <w:pPr>
              <w:jc w:val="center"/>
              <w:rPr>
                <w:rFonts w:asciiTheme="majorBidi" w:hAnsiTheme="majorBidi" w:cstheme="majorBidi"/>
                <w:sz w:val="24"/>
                <w:szCs w:val="24"/>
                <w:lang w:val="en-US"/>
              </w:rPr>
            </w:pPr>
            <w:r w:rsidRPr="001F3C5F">
              <w:rPr>
                <w:rFonts w:asciiTheme="majorBidi" w:hAnsiTheme="majorBidi" w:cstheme="majorBidi"/>
                <w:sz w:val="24"/>
                <w:szCs w:val="24"/>
                <w:lang w:val="en-US"/>
              </w:rPr>
              <w:t>.00</w:t>
            </w:r>
          </w:p>
        </w:tc>
      </w:tr>
      <w:tr w:rsidR="00132DB1" w:rsidRPr="001F3C5F" w:rsidTr="00132DB1">
        <w:trPr>
          <w:trHeight w:val="20"/>
          <w:jc w:val="center"/>
        </w:trPr>
        <w:tc>
          <w:tcPr>
            <w:tcW w:w="2520"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900"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High</w:t>
            </w:r>
          </w:p>
        </w:tc>
        <w:tc>
          <w:tcPr>
            <w:tcW w:w="1179"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2840</w:t>
            </w:r>
          </w:p>
        </w:tc>
        <w:tc>
          <w:tcPr>
            <w:tcW w:w="1418"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tl/>
              </w:rPr>
              <w:t>3.824</w:t>
            </w:r>
          </w:p>
        </w:tc>
        <w:tc>
          <w:tcPr>
            <w:tcW w:w="1134"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1331"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562" w:type="dxa"/>
            <w:vMerge/>
            <w:vAlign w:val="center"/>
          </w:tcPr>
          <w:p w:rsidR="00132DB1" w:rsidRPr="001F3C5F" w:rsidRDefault="00132DB1" w:rsidP="00352BA7">
            <w:pPr>
              <w:jc w:val="center"/>
              <w:rPr>
                <w:rFonts w:asciiTheme="majorBidi" w:hAnsiTheme="majorBidi" w:cstheme="majorBidi"/>
                <w:sz w:val="24"/>
                <w:szCs w:val="24"/>
                <w:lang w:val="en-US"/>
              </w:rPr>
            </w:pPr>
          </w:p>
        </w:tc>
      </w:tr>
      <w:tr w:rsidR="00132DB1" w:rsidRPr="001F3C5F" w:rsidTr="00132DB1">
        <w:trPr>
          <w:trHeight w:val="20"/>
          <w:jc w:val="center"/>
        </w:trPr>
        <w:tc>
          <w:tcPr>
            <w:tcW w:w="2520" w:type="dxa"/>
            <w:vMerge w:val="restart"/>
            <w:vAlign w:val="center"/>
          </w:tcPr>
          <w:p w:rsidR="00132DB1" w:rsidRPr="001F3C5F" w:rsidRDefault="00132DB1" w:rsidP="00352BA7">
            <w:pPr>
              <w:jc w:val="center"/>
              <w:rPr>
                <w:rFonts w:asciiTheme="majorBidi" w:hAnsiTheme="majorBidi" w:cstheme="majorBidi"/>
                <w:sz w:val="24"/>
                <w:szCs w:val="24"/>
                <w:lang w:val="en-US"/>
              </w:rPr>
            </w:pPr>
            <w:r w:rsidRPr="001F3C5F">
              <w:rPr>
                <w:rFonts w:asciiTheme="majorBidi" w:hAnsiTheme="majorBidi" w:cstheme="majorBidi"/>
                <w:sz w:val="24"/>
                <w:szCs w:val="24"/>
                <w:lang w:val="en-US"/>
              </w:rPr>
              <w:t>Islamic university.</w:t>
            </w:r>
          </w:p>
        </w:tc>
        <w:tc>
          <w:tcPr>
            <w:tcW w:w="900" w:type="dxa"/>
            <w:vAlign w:val="center"/>
          </w:tcPr>
          <w:p w:rsidR="00132DB1" w:rsidRPr="001F3C5F" w:rsidRDefault="00132DB1" w:rsidP="00352BA7">
            <w:pPr>
              <w:jc w:val="center"/>
              <w:rPr>
                <w:rFonts w:asciiTheme="majorBidi" w:hAnsiTheme="majorBidi" w:cstheme="majorBidi"/>
                <w:color w:val="000000"/>
                <w:sz w:val="24"/>
                <w:szCs w:val="24"/>
                <w:lang w:val="en-US"/>
              </w:rPr>
            </w:pPr>
            <w:r w:rsidRPr="001F3C5F">
              <w:rPr>
                <w:rFonts w:asciiTheme="majorBidi" w:hAnsiTheme="majorBidi" w:cstheme="majorBidi"/>
                <w:color w:val="000000"/>
                <w:sz w:val="24"/>
                <w:szCs w:val="24"/>
                <w:lang w:val="en-US"/>
              </w:rPr>
              <w:t>Low</w:t>
            </w:r>
          </w:p>
        </w:tc>
        <w:tc>
          <w:tcPr>
            <w:tcW w:w="1179" w:type="dxa"/>
            <w:vAlign w:val="center"/>
          </w:tcPr>
          <w:p w:rsidR="00132DB1" w:rsidRPr="001F3C5F" w:rsidRDefault="00132DB1" w:rsidP="00352BA7">
            <w:pPr>
              <w:jc w:val="center"/>
              <w:rPr>
                <w:rFonts w:asciiTheme="majorBidi" w:hAnsiTheme="majorBidi" w:cstheme="majorBidi"/>
                <w:color w:val="000000"/>
                <w:sz w:val="24"/>
                <w:szCs w:val="24"/>
                <w:lang w:val="en-US"/>
              </w:rPr>
            </w:pPr>
            <w:r w:rsidRPr="001F3C5F">
              <w:rPr>
                <w:rFonts w:asciiTheme="majorBidi" w:hAnsiTheme="majorBidi" w:cstheme="majorBidi"/>
                <w:color w:val="000000"/>
                <w:sz w:val="24"/>
                <w:szCs w:val="24"/>
                <w:lang w:val="en-US"/>
              </w:rPr>
              <w:t>3540</w:t>
            </w:r>
          </w:p>
        </w:tc>
        <w:tc>
          <w:tcPr>
            <w:tcW w:w="1418"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tl/>
              </w:rPr>
              <w:t>2.517</w:t>
            </w:r>
          </w:p>
        </w:tc>
        <w:tc>
          <w:tcPr>
            <w:tcW w:w="1134" w:type="dxa"/>
            <w:vMerge w:val="restart"/>
            <w:vAlign w:val="center"/>
          </w:tcPr>
          <w:p w:rsidR="00132DB1" w:rsidRPr="001F3C5F" w:rsidRDefault="00132DB1" w:rsidP="00352BA7">
            <w:pPr>
              <w:jc w:val="center"/>
              <w:rPr>
                <w:rFonts w:asciiTheme="majorBidi" w:hAnsiTheme="majorBidi" w:cstheme="majorBidi"/>
                <w:sz w:val="24"/>
                <w:szCs w:val="24"/>
              </w:rPr>
            </w:pPr>
            <w:r w:rsidRPr="001F3C5F">
              <w:rPr>
                <w:rFonts w:asciiTheme="majorBidi" w:hAnsiTheme="majorBidi" w:cstheme="majorBidi"/>
                <w:sz w:val="24"/>
                <w:szCs w:val="24"/>
              </w:rPr>
              <w:t>-14.811</w:t>
            </w:r>
          </w:p>
        </w:tc>
        <w:tc>
          <w:tcPr>
            <w:tcW w:w="1331" w:type="dxa"/>
            <w:vMerge w:val="restart"/>
            <w:vAlign w:val="center"/>
          </w:tcPr>
          <w:p w:rsidR="00132DB1" w:rsidRPr="001F3C5F" w:rsidRDefault="00132DB1" w:rsidP="00352BA7">
            <w:pPr>
              <w:jc w:val="center"/>
              <w:rPr>
                <w:rFonts w:asciiTheme="majorBidi" w:hAnsiTheme="majorBidi" w:cstheme="majorBidi"/>
                <w:sz w:val="24"/>
                <w:szCs w:val="24"/>
              </w:rPr>
            </w:pPr>
            <w:r w:rsidRPr="001F3C5F">
              <w:rPr>
                <w:rFonts w:asciiTheme="majorBidi" w:hAnsiTheme="majorBidi" w:cstheme="majorBidi"/>
                <w:sz w:val="24"/>
                <w:szCs w:val="24"/>
              </w:rPr>
              <w:t>1, 3810</w:t>
            </w:r>
          </w:p>
        </w:tc>
        <w:tc>
          <w:tcPr>
            <w:tcW w:w="562" w:type="dxa"/>
            <w:vMerge w:val="restart"/>
            <w:vAlign w:val="center"/>
          </w:tcPr>
          <w:p w:rsidR="00132DB1" w:rsidRPr="001F3C5F" w:rsidRDefault="00132DB1" w:rsidP="00352BA7">
            <w:pPr>
              <w:jc w:val="center"/>
              <w:rPr>
                <w:rFonts w:asciiTheme="majorBidi" w:hAnsiTheme="majorBidi" w:cstheme="majorBidi"/>
                <w:sz w:val="24"/>
                <w:szCs w:val="24"/>
                <w:lang w:val="en-US"/>
              </w:rPr>
            </w:pPr>
            <w:r w:rsidRPr="001F3C5F">
              <w:rPr>
                <w:rFonts w:asciiTheme="majorBidi" w:hAnsiTheme="majorBidi" w:cstheme="majorBidi"/>
                <w:sz w:val="24"/>
                <w:szCs w:val="24"/>
                <w:lang w:val="en-US"/>
              </w:rPr>
              <w:t>.00</w:t>
            </w:r>
          </w:p>
        </w:tc>
      </w:tr>
      <w:tr w:rsidR="00132DB1" w:rsidRPr="001F3C5F" w:rsidTr="00132DB1">
        <w:trPr>
          <w:trHeight w:val="20"/>
          <w:jc w:val="center"/>
        </w:trPr>
        <w:tc>
          <w:tcPr>
            <w:tcW w:w="2520"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900"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High</w:t>
            </w:r>
          </w:p>
        </w:tc>
        <w:tc>
          <w:tcPr>
            <w:tcW w:w="1179"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272</w:t>
            </w:r>
          </w:p>
        </w:tc>
        <w:tc>
          <w:tcPr>
            <w:tcW w:w="1418"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tl/>
              </w:rPr>
              <w:t>3.562</w:t>
            </w:r>
          </w:p>
        </w:tc>
        <w:tc>
          <w:tcPr>
            <w:tcW w:w="1134"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1331"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562" w:type="dxa"/>
            <w:vMerge/>
            <w:vAlign w:val="center"/>
          </w:tcPr>
          <w:p w:rsidR="00132DB1" w:rsidRPr="001F3C5F" w:rsidRDefault="00132DB1" w:rsidP="00352BA7">
            <w:pPr>
              <w:jc w:val="center"/>
              <w:rPr>
                <w:rFonts w:asciiTheme="majorBidi" w:hAnsiTheme="majorBidi" w:cstheme="majorBidi"/>
                <w:sz w:val="24"/>
                <w:szCs w:val="24"/>
                <w:lang w:val="en-US"/>
              </w:rPr>
            </w:pPr>
          </w:p>
        </w:tc>
      </w:tr>
      <w:tr w:rsidR="00132DB1" w:rsidRPr="001F3C5F" w:rsidTr="00132DB1">
        <w:trPr>
          <w:trHeight w:val="20"/>
          <w:jc w:val="center"/>
        </w:trPr>
        <w:tc>
          <w:tcPr>
            <w:tcW w:w="2520" w:type="dxa"/>
            <w:vMerge w:val="restart"/>
            <w:vAlign w:val="center"/>
          </w:tcPr>
          <w:p w:rsidR="00132DB1" w:rsidRPr="001F3C5F" w:rsidRDefault="00132DB1" w:rsidP="00352BA7">
            <w:pPr>
              <w:jc w:val="center"/>
              <w:rPr>
                <w:rFonts w:asciiTheme="majorBidi" w:hAnsiTheme="majorBidi" w:cstheme="majorBidi"/>
                <w:sz w:val="24"/>
                <w:szCs w:val="24"/>
                <w:lang w:val="en-US"/>
              </w:rPr>
            </w:pPr>
            <w:r w:rsidRPr="001F3C5F">
              <w:rPr>
                <w:rFonts w:asciiTheme="majorBidi" w:hAnsiTheme="majorBidi" w:cstheme="majorBidi"/>
                <w:sz w:val="24"/>
                <w:szCs w:val="24"/>
                <w:lang w:val="en-US"/>
              </w:rPr>
              <w:t>Taibah university.</w:t>
            </w:r>
          </w:p>
        </w:tc>
        <w:tc>
          <w:tcPr>
            <w:tcW w:w="900" w:type="dxa"/>
            <w:vAlign w:val="center"/>
          </w:tcPr>
          <w:p w:rsidR="00132DB1" w:rsidRPr="001F3C5F" w:rsidRDefault="00132DB1" w:rsidP="00352BA7">
            <w:pPr>
              <w:jc w:val="center"/>
              <w:rPr>
                <w:rFonts w:asciiTheme="majorBidi" w:hAnsiTheme="majorBidi" w:cstheme="majorBidi"/>
                <w:color w:val="000000"/>
                <w:sz w:val="24"/>
                <w:szCs w:val="24"/>
                <w:lang w:val="en-US"/>
              </w:rPr>
            </w:pPr>
            <w:r w:rsidRPr="001F3C5F">
              <w:rPr>
                <w:rFonts w:asciiTheme="majorBidi" w:hAnsiTheme="majorBidi" w:cstheme="majorBidi"/>
                <w:color w:val="000000"/>
                <w:sz w:val="24"/>
                <w:szCs w:val="24"/>
                <w:lang w:val="en-US"/>
              </w:rPr>
              <w:t>Low</w:t>
            </w:r>
          </w:p>
        </w:tc>
        <w:tc>
          <w:tcPr>
            <w:tcW w:w="1179" w:type="dxa"/>
            <w:vAlign w:val="center"/>
          </w:tcPr>
          <w:p w:rsidR="00132DB1" w:rsidRPr="001F3C5F" w:rsidRDefault="00132DB1" w:rsidP="00352BA7">
            <w:pPr>
              <w:jc w:val="center"/>
              <w:rPr>
                <w:rFonts w:asciiTheme="majorBidi" w:hAnsiTheme="majorBidi" w:cstheme="majorBidi"/>
                <w:color w:val="000000"/>
                <w:sz w:val="24"/>
                <w:szCs w:val="24"/>
                <w:lang w:val="en-US"/>
              </w:rPr>
            </w:pPr>
            <w:r w:rsidRPr="001F3C5F">
              <w:rPr>
                <w:rFonts w:asciiTheme="majorBidi" w:hAnsiTheme="majorBidi" w:cstheme="majorBidi"/>
                <w:color w:val="000000"/>
                <w:sz w:val="24"/>
                <w:szCs w:val="24"/>
                <w:lang w:val="en-US"/>
              </w:rPr>
              <w:t>139</w:t>
            </w:r>
          </w:p>
        </w:tc>
        <w:tc>
          <w:tcPr>
            <w:tcW w:w="1418"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tl/>
              </w:rPr>
              <w:t>4.251</w:t>
            </w:r>
          </w:p>
        </w:tc>
        <w:tc>
          <w:tcPr>
            <w:tcW w:w="1134" w:type="dxa"/>
            <w:vMerge w:val="restart"/>
            <w:vAlign w:val="center"/>
          </w:tcPr>
          <w:p w:rsidR="00132DB1" w:rsidRPr="001F3C5F" w:rsidRDefault="00132DB1" w:rsidP="00352BA7">
            <w:pPr>
              <w:jc w:val="center"/>
              <w:rPr>
                <w:rFonts w:asciiTheme="majorBidi" w:hAnsiTheme="majorBidi" w:cstheme="majorBidi"/>
                <w:sz w:val="24"/>
                <w:szCs w:val="24"/>
              </w:rPr>
            </w:pPr>
            <w:r w:rsidRPr="001F3C5F">
              <w:rPr>
                <w:rFonts w:asciiTheme="majorBidi" w:hAnsiTheme="majorBidi" w:cstheme="majorBidi"/>
                <w:sz w:val="24"/>
                <w:szCs w:val="24"/>
              </w:rPr>
              <w:t>.132</w:t>
            </w:r>
          </w:p>
        </w:tc>
        <w:tc>
          <w:tcPr>
            <w:tcW w:w="1331" w:type="dxa"/>
            <w:vMerge w:val="restart"/>
            <w:vAlign w:val="center"/>
          </w:tcPr>
          <w:p w:rsidR="00132DB1" w:rsidRPr="001F3C5F" w:rsidRDefault="00132DB1" w:rsidP="00352BA7">
            <w:pPr>
              <w:jc w:val="center"/>
              <w:rPr>
                <w:rFonts w:asciiTheme="majorBidi" w:hAnsiTheme="majorBidi" w:cstheme="majorBidi"/>
                <w:sz w:val="24"/>
                <w:szCs w:val="24"/>
              </w:rPr>
            </w:pPr>
            <w:r w:rsidRPr="001F3C5F">
              <w:rPr>
                <w:rFonts w:asciiTheme="majorBidi" w:hAnsiTheme="majorBidi" w:cstheme="majorBidi"/>
                <w:sz w:val="24"/>
                <w:szCs w:val="24"/>
              </w:rPr>
              <w:t>1, 390</w:t>
            </w:r>
          </w:p>
        </w:tc>
        <w:tc>
          <w:tcPr>
            <w:tcW w:w="562" w:type="dxa"/>
            <w:vMerge w:val="restart"/>
            <w:vAlign w:val="center"/>
          </w:tcPr>
          <w:p w:rsidR="00132DB1" w:rsidRPr="001F3C5F" w:rsidRDefault="00132DB1" w:rsidP="00352BA7">
            <w:pPr>
              <w:jc w:val="center"/>
              <w:rPr>
                <w:rFonts w:asciiTheme="majorBidi" w:hAnsiTheme="majorBidi" w:cstheme="majorBidi"/>
                <w:sz w:val="24"/>
                <w:szCs w:val="24"/>
                <w:lang w:val="en-US"/>
              </w:rPr>
            </w:pPr>
            <w:r w:rsidRPr="001F3C5F">
              <w:rPr>
                <w:rFonts w:asciiTheme="majorBidi" w:hAnsiTheme="majorBidi" w:cstheme="majorBidi"/>
                <w:sz w:val="24"/>
                <w:szCs w:val="24"/>
                <w:lang w:val="en-US"/>
              </w:rPr>
              <w:t>.89</w:t>
            </w:r>
          </w:p>
        </w:tc>
      </w:tr>
      <w:tr w:rsidR="00132DB1" w:rsidRPr="001F3C5F" w:rsidTr="00132DB1">
        <w:trPr>
          <w:trHeight w:val="20"/>
          <w:jc w:val="center"/>
        </w:trPr>
        <w:tc>
          <w:tcPr>
            <w:tcW w:w="2520"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900"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High</w:t>
            </w:r>
          </w:p>
        </w:tc>
        <w:tc>
          <w:tcPr>
            <w:tcW w:w="1179"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Pr>
              <w:t>253</w:t>
            </w:r>
          </w:p>
        </w:tc>
        <w:tc>
          <w:tcPr>
            <w:tcW w:w="1418" w:type="dxa"/>
            <w:vAlign w:val="center"/>
          </w:tcPr>
          <w:p w:rsidR="00132DB1" w:rsidRPr="001F3C5F" w:rsidRDefault="00132DB1" w:rsidP="00352BA7">
            <w:pPr>
              <w:jc w:val="center"/>
              <w:rPr>
                <w:rFonts w:asciiTheme="majorBidi" w:hAnsiTheme="majorBidi" w:cstheme="majorBidi"/>
                <w:color w:val="000000"/>
                <w:sz w:val="24"/>
                <w:szCs w:val="24"/>
              </w:rPr>
            </w:pPr>
            <w:r w:rsidRPr="001F3C5F">
              <w:rPr>
                <w:rFonts w:asciiTheme="majorBidi" w:hAnsiTheme="majorBidi" w:cstheme="majorBidi"/>
                <w:color w:val="000000"/>
                <w:sz w:val="24"/>
                <w:szCs w:val="24"/>
                <w:rtl/>
              </w:rPr>
              <w:t>4.241</w:t>
            </w:r>
          </w:p>
        </w:tc>
        <w:tc>
          <w:tcPr>
            <w:tcW w:w="1134" w:type="dxa"/>
            <w:vMerge/>
            <w:vAlign w:val="center"/>
          </w:tcPr>
          <w:p w:rsidR="00132DB1" w:rsidRPr="001F3C5F" w:rsidRDefault="00132DB1" w:rsidP="00352BA7">
            <w:pPr>
              <w:jc w:val="center"/>
              <w:rPr>
                <w:rFonts w:asciiTheme="majorBidi" w:hAnsiTheme="majorBidi" w:cstheme="majorBidi"/>
                <w:sz w:val="24"/>
                <w:szCs w:val="24"/>
                <w:lang w:val="en-US"/>
              </w:rPr>
            </w:pPr>
          </w:p>
        </w:tc>
        <w:tc>
          <w:tcPr>
            <w:tcW w:w="1331" w:type="dxa"/>
            <w:vMerge/>
          </w:tcPr>
          <w:p w:rsidR="00132DB1" w:rsidRPr="001F3C5F" w:rsidRDefault="00132DB1" w:rsidP="00352BA7">
            <w:pPr>
              <w:jc w:val="center"/>
              <w:rPr>
                <w:rFonts w:asciiTheme="majorBidi" w:hAnsiTheme="majorBidi" w:cstheme="majorBidi"/>
                <w:sz w:val="24"/>
                <w:szCs w:val="24"/>
                <w:lang w:val="en-US"/>
              </w:rPr>
            </w:pPr>
          </w:p>
        </w:tc>
        <w:tc>
          <w:tcPr>
            <w:tcW w:w="562" w:type="dxa"/>
            <w:vMerge/>
          </w:tcPr>
          <w:p w:rsidR="00132DB1" w:rsidRPr="001F3C5F" w:rsidRDefault="00132DB1" w:rsidP="00352BA7">
            <w:pPr>
              <w:jc w:val="center"/>
              <w:rPr>
                <w:rFonts w:asciiTheme="majorBidi" w:hAnsiTheme="majorBidi" w:cstheme="majorBidi"/>
                <w:sz w:val="24"/>
                <w:szCs w:val="24"/>
                <w:lang w:val="en-US"/>
              </w:rPr>
            </w:pPr>
          </w:p>
        </w:tc>
      </w:tr>
    </w:tbl>
    <w:p w:rsidR="00D40A0C" w:rsidRDefault="00D40A0C" w:rsidP="00F54B20">
      <w:pPr>
        <w:pStyle w:val="Default"/>
      </w:pPr>
      <w:r>
        <w:t xml:space="preserve">  </w:t>
      </w:r>
    </w:p>
    <w:p w:rsidR="00BD73E9" w:rsidRDefault="00BD73E9" w:rsidP="00693D56">
      <w:pPr>
        <w:pStyle w:val="Default"/>
      </w:pPr>
    </w:p>
    <w:p w:rsidR="00BD73E9" w:rsidRPr="00284595" w:rsidRDefault="0024075D" w:rsidP="0024075D">
      <w:pPr>
        <w:pStyle w:val="Default"/>
        <w:rPr>
          <w:b/>
          <w:bCs/>
        </w:rPr>
      </w:pPr>
      <w:r w:rsidRPr="00284595">
        <w:rPr>
          <w:b/>
          <w:bCs/>
        </w:rPr>
        <w:t>Graphical Representation:</w:t>
      </w:r>
    </w:p>
    <w:p w:rsidR="0024075D" w:rsidRDefault="0024075D" w:rsidP="0024075D">
      <w:pPr>
        <w:pStyle w:val="Default"/>
      </w:pPr>
    </w:p>
    <w:p w:rsidR="00284595" w:rsidRDefault="0004217A" w:rsidP="007A17E7">
      <w:pPr>
        <w:pStyle w:val="Default"/>
        <w:jc w:val="both"/>
      </w:pPr>
      <w:r>
        <w:t>The average HSGPA for the total data set is more than 91 out of a hundr</w:t>
      </w:r>
      <w:r w:rsidR="00797431">
        <w:t>e</w:t>
      </w:r>
      <w:r>
        <w:t>d</w:t>
      </w:r>
      <w:r w:rsidR="00797431">
        <w:t xml:space="preserve"> for five out of seven universities. This means that approximately 50% of the students at these universities have a HSGPA greater than 90. This score put the</w:t>
      </w:r>
      <w:r w:rsidR="001C38BD">
        <w:t>m</w:t>
      </w:r>
      <w:r w:rsidR="00797431">
        <w:t xml:space="preserve"> at the excellent level. However, does this excellence label </w:t>
      </w:r>
      <w:r w:rsidR="001C38BD">
        <w:t>persist</w:t>
      </w:r>
      <w:r w:rsidR="00797431">
        <w:t xml:space="preserve"> at the university education? The answer is no. because </w:t>
      </w:r>
      <w:r w:rsidR="001C38BD">
        <w:t>the average FYGPA</w:t>
      </w:r>
      <w:r w:rsidR="00797431">
        <w:t xml:space="preserve"> </w:t>
      </w:r>
      <w:r w:rsidR="001C38BD">
        <w:t>for these universities is</w:t>
      </w:r>
      <w:r w:rsidR="00510F25">
        <w:t xml:space="preserve"> far from 4.50 which correspond</w:t>
      </w:r>
      <w:r w:rsidR="001C38BD">
        <w:t xml:space="preserve"> to the excellent level.</w:t>
      </w:r>
    </w:p>
    <w:p w:rsidR="00AB3C4F" w:rsidRDefault="003E6405" w:rsidP="007A17E7">
      <w:pPr>
        <w:pStyle w:val="Default"/>
        <w:jc w:val="both"/>
      </w:pPr>
      <w:r>
        <w:t>However, KFUPM is highly selective university. This was reflected in the magnitude of scores in HSGPA and GAT, and FYGPA.</w:t>
      </w:r>
      <w:r w:rsidR="00851D8B">
        <w:t xml:space="preserve"> </w:t>
      </w:r>
    </w:p>
    <w:p w:rsidR="00AB3C4F" w:rsidRDefault="00AB3C4F" w:rsidP="007A17E7">
      <w:pPr>
        <w:pStyle w:val="Default"/>
        <w:jc w:val="both"/>
      </w:pPr>
      <w:r>
        <w:t xml:space="preserve">Appendix A show graphical representation of GAT, HSGPA, and FYGPA </w:t>
      </w:r>
      <w:proofErr w:type="gramStart"/>
      <w:r>
        <w:t>( tables</w:t>
      </w:r>
      <w:proofErr w:type="gramEnd"/>
      <w:r>
        <w:t xml:space="preserve"> A through table G ). One can notice that despite the low range of scores for the HSGPA GAT varies considerably. In fact it gets as low as 68</w:t>
      </w:r>
      <w:r w:rsidR="00436F95">
        <w:t xml:space="preserve"> </w:t>
      </w:r>
      <w:proofErr w:type="gramStart"/>
      <w:r w:rsidR="00436F95">
        <w:t>( see</w:t>
      </w:r>
      <w:proofErr w:type="gramEnd"/>
      <w:r w:rsidR="00436F95">
        <w:t xml:space="preserve"> KKU, and IU graphs ), and as high  95 ( see IU graph ).</w:t>
      </w:r>
    </w:p>
    <w:p w:rsidR="007A17E7" w:rsidRDefault="007A17E7" w:rsidP="0005349A">
      <w:pPr>
        <w:pStyle w:val="Default"/>
      </w:pPr>
    </w:p>
    <w:p w:rsidR="007A17E7" w:rsidRDefault="007A17E7" w:rsidP="0005349A">
      <w:pPr>
        <w:pStyle w:val="Default"/>
      </w:pPr>
    </w:p>
    <w:p w:rsidR="007A17E7" w:rsidRDefault="007A17E7" w:rsidP="0005349A">
      <w:pPr>
        <w:pStyle w:val="Default"/>
      </w:pPr>
    </w:p>
    <w:p w:rsidR="007A17E7" w:rsidRDefault="007A17E7" w:rsidP="0005349A">
      <w:pPr>
        <w:pStyle w:val="Default"/>
      </w:pPr>
    </w:p>
    <w:p w:rsidR="007A17E7" w:rsidRDefault="007A17E7" w:rsidP="0005349A">
      <w:pPr>
        <w:pStyle w:val="Default"/>
      </w:pPr>
    </w:p>
    <w:p w:rsidR="007A17E7" w:rsidRDefault="007A17E7" w:rsidP="0005349A">
      <w:pPr>
        <w:pStyle w:val="Default"/>
      </w:pPr>
    </w:p>
    <w:p w:rsidR="001F3C5F" w:rsidRDefault="001F3C5F" w:rsidP="0005349A">
      <w:pPr>
        <w:pStyle w:val="Default"/>
      </w:pPr>
    </w:p>
    <w:p w:rsidR="001F3C5F" w:rsidRDefault="001F3C5F" w:rsidP="0005349A">
      <w:pPr>
        <w:pStyle w:val="Default"/>
      </w:pPr>
    </w:p>
    <w:p w:rsidR="001F3C5F" w:rsidRDefault="001F3C5F" w:rsidP="0005349A">
      <w:pPr>
        <w:pStyle w:val="Default"/>
      </w:pPr>
    </w:p>
    <w:p w:rsidR="001F3C5F" w:rsidRDefault="001F3C5F" w:rsidP="0005349A">
      <w:pPr>
        <w:pStyle w:val="Default"/>
      </w:pPr>
    </w:p>
    <w:p w:rsidR="001F3C5F" w:rsidRDefault="001F3C5F" w:rsidP="0005349A">
      <w:pPr>
        <w:pStyle w:val="Default"/>
      </w:pPr>
    </w:p>
    <w:p w:rsidR="007A17E7" w:rsidRDefault="007A17E7" w:rsidP="0005349A">
      <w:pPr>
        <w:pStyle w:val="Default"/>
      </w:pPr>
    </w:p>
    <w:p w:rsidR="007A17E7" w:rsidRDefault="007A17E7" w:rsidP="0005349A">
      <w:pPr>
        <w:pStyle w:val="Default"/>
      </w:pPr>
    </w:p>
    <w:p w:rsidR="001C38BD" w:rsidRDefault="001C38BD" w:rsidP="0005349A">
      <w:pPr>
        <w:pStyle w:val="Default"/>
      </w:pPr>
      <w:r>
        <w:t xml:space="preserve">Figure 1: average score for GAT, HSGPA, and FYGPA for the </w:t>
      </w:r>
      <w:r w:rsidR="0005349A">
        <w:t>all</w:t>
      </w:r>
      <w:r>
        <w:t xml:space="preserve"> Universities</w:t>
      </w:r>
    </w:p>
    <w:p w:rsidR="001C38BD" w:rsidRDefault="001C38BD" w:rsidP="0024075D">
      <w:pPr>
        <w:pStyle w:val="Default"/>
      </w:pPr>
    </w:p>
    <w:p w:rsidR="001C38BD" w:rsidRDefault="0005349A" w:rsidP="0024075D">
      <w:pPr>
        <w:pStyle w:val="Default"/>
        <w:rPr>
          <w:u w:val="single"/>
        </w:rPr>
      </w:pPr>
      <w:r>
        <w:rPr>
          <w:noProof/>
        </w:rPr>
        <w:drawing>
          <wp:inline distT="0" distB="0" distL="0" distR="0" wp14:anchorId="3206E47A" wp14:editId="5D65BE90">
            <wp:extent cx="5273040" cy="3162300"/>
            <wp:effectExtent l="0" t="0" r="2286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38BD" w:rsidRDefault="001C38BD" w:rsidP="0024075D">
      <w:pPr>
        <w:pStyle w:val="Default"/>
        <w:rPr>
          <w:u w:val="single"/>
        </w:rPr>
      </w:pPr>
    </w:p>
    <w:p w:rsidR="005A2E5B" w:rsidRDefault="005A2E5B" w:rsidP="005A2E5B">
      <w:pPr>
        <w:pStyle w:val="Default"/>
        <w:jc w:val="center"/>
        <w:rPr>
          <w:b/>
          <w:bCs/>
          <w:sz w:val="32"/>
          <w:szCs w:val="32"/>
        </w:rPr>
      </w:pPr>
      <w:r>
        <w:rPr>
          <w:b/>
          <w:bCs/>
          <w:sz w:val="32"/>
          <w:szCs w:val="32"/>
        </w:rPr>
        <w:t>D</w:t>
      </w:r>
      <w:r w:rsidRPr="00436F95">
        <w:rPr>
          <w:b/>
          <w:bCs/>
          <w:sz w:val="32"/>
          <w:szCs w:val="32"/>
        </w:rPr>
        <w:t>iscussion</w:t>
      </w:r>
    </w:p>
    <w:p w:rsidR="005A2E5B" w:rsidRPr="00436F95" w:rsidRDefault="005A2E5B" w:rsidP="005A2E5B">
      <w:pPr>
        <w:pStyle w:val="Default"/>
        <w:jc w:val="center"/>
        <w:rPr>
          <w:b/>
          <w:bCs/>
          <w:sz w:val="32"/>
          <w:szCs w:val="32"/>
        </w:rPr>
      </w:pPr>
    </w:p>
    <w:p w:rsidR="005A2E5B" w:rsidRDefault="005A2E5B" w:rsidP="007A17E7">
      <w:pPr>
        <w:pStyle w:val="Default"/>
        <w:jc w:val="both"/>
      </w:pPr>
      <w:r>
        <w:t>Studies of the importance of variables in predicting performance in universities and colleges have contradictory results. Some has favored school achievement variables</w:t>
      </w:r>
    </w:p>
    <w:p w:rsidR="005A2E5B" w:rsidRDefault="005A2E5B" w:rsidP="007A17E7">
      <w:pPr>
        <w:pStyle w:val="Default"/>
        <w:jc w:val="both"/>
      </w:pPr>
      <w:r>
        <w:t xml:space="preserve"> (Course and Trusheim, 1988; and Geiser and Santelices, 2007), others have favored aptitude variables. The present study resides with studies favoring aptitude variable (</w:t>
      </w:r>
      <w:proofErr w:type="spellStart"/>
      <w:r>
        <w:t>Korbin</w:t>
      </w:r>
      <w:proofErr w:type="spellEnd"/>
      <w:r>
        <w:t>, 2002; Ramist and McCamley-Jenkins, 1994). In fact, General Aptitude Test score change reflects changes in university grade point average. This finding is supported by many studies that place more emphasis on SAT or ACT in college admission.  As for the main question of the study, it is apparent that GAT score is more silent in university education than HSGPA which adds up to the accumulated evidence of the validity of the GAT.</w:t>
      </w:r>
    </w:p>
    <w:p w:rsidR="005A2E5B" w:rsidRDefault="005A2E5B" w:rsidP="007A17E7">
      <w:pPr>
        <w:pStyle w:val="Default"/>
        <w:jc w:val="both"/>
      </w:pPr>
    </w:p>
    <w:p w:rsidR="000E22CA" w:rsidRDefault="000E22CA" w:rsidP="0024075D">
      <w:pPr>
        <w:pStyle w:val="Default"/>
        <w:rPr>
          <w:u w:val="single"/>
          <w:rtl/>
        </w:rPr>
      </w:pPr>
    </w:p>
    <w:p w:rsidR="000E22CA" w:rsidRDefault="000E22CA" w:rsidP="0024075D">
      <w:pPr>
        <w:pStyle w:val="Default"/>
        <w:rPr>
          <w:u w:val="single"/>
          <w:rtl/>
        </w:rPr>
      </w:pPr>
    </w:p>
    <w:p w:rsidR="000E22CA" w:rsidRDefault="000E22CA" w:rsidP="0024075D">
      <w:pPr>
        <w:pStyle w:val="Default"/>
        <w:rPr>
          <w:u w:val="single"/>
          <w:rtl/>
        </w:rPr>
      </w:pPr>
    </w:p>
    <w:p w:rsidR="000E22CA" w:rsidRDefault="000E22CA" w:rsidP="0024075D">
      <w:pPr>
        <w:pStyle w:val="Default"/>
        <w:rPr>
          <w:u w:val="single"/>
          <w:rtl/>
        </w:rPr>
      </w:pPr>
    </w:p>
    <w:p w:rsidR="000E22CA" w:rsidRDefault="000E22CA" w:rsidP="0024075D">
      <w:pPr>
        <w:pStyle w:val="Default"/>
        <w:rPr>
          <w:u w:val="single"/>
          <w:rtl/>
        </w:rPr>
      </w:pPr>
    </w:p>
    <w:p w:rsidR="000E22CA" w:rsidRDefault="000E22CA" w:rsidP="0024075D">
      <w:pPr>
        <w:pStyle w:val="Default"/>
        <w:rPr>
          <w:u w:val="single"/>
          <w:rtl/>
        </w:rPr>
      </w:pPr>
    </w:p>
    <w:p w:rsidR="000E22CA" w:rsidRDefault="000E22CA" w:rsidP="0024075D">
      <w:pPr>
        <w:pStyle w:val="Default"/>
        <w:rPr>
          <w:u w:val="single"/>
          <w:rtl/>
        </w:rPr>
      </w:pPr>
    </w:p>
    <w:p w:rsidR="000E22CA" w:rsidRDefault="000E22CA" w:rsidP="0024075D">
      <w:pPr>
        <w:pStyle w:val="Default"/>
        <w:rPr>
          <w:u w:val="single"/>
          <w:rtl/>
        </w:rPr>
      </w:pPr>
    </w:p>
    <w:p w:rsidR="000E22CA" w:rsidRDefault="000E22CA" w:rsidP="0024075D">
      <w:pPr>
        <w:pStyle w:val="Default"/>
        <w:rPr>
          <w:u w:val="single"/>
          <w:rtl/>
        </w:rPr>
      </w:pPr>
    </w:p>
    <w:p w:rsidR="000E22CA" w:rsidRDefault="000E22CA" w:rsidP="0024075D">
      <w:pPr>
        <w:pStyle w:val="Default"/>
        <w:rPr>
          <w:u w:val="single"/>
          <w:rtl/>
        </w:rPr>
      </w:pPr>
    </w:p>
    <w:p w:rsidR="000E22CA" w:rsidRDefault="000E22CA" w:rsidP="0024075D">
      <w:pPr>
        <w:pStyle w:val="Default"/>
        <w:rPr>
          <w:u w:val="single"/>
          <w:rtl/>
        </w:rPr>
      </w:pPr>
    </w:p>
    <w:p w:rsidR="000E22CA" w:rsidRDefault="000E22CA" w:rsidP="0024075D">
      <w:pPr>
        <w:pStyle w:val="Default"/>
        <w:rPr>
          <w:u w:val="single"/>
          <w:rtl/>
        </w:rPr>
      </w:pPr>
    </w:p>
    <w:p w:rsidR="000E22CA" w:rsidRDefault="000E22CA" w:rsidP="0024075D">
      <w:pPr>
        <w:pStyle w:val="Default"/>
        <w:rPr>
          <w:u w:val="single"/>
          <w:rtl/>
        </w:rPr>
      </w:pPr>
    </w:p>
    <w:p w:rsidR="000E22CA" w:rsidRDefault="000E22CA" w:rsidP="0024075D">
      <w:pPr>
        <w:pStyle w:val="Default"/>
        <w:rPr>
          <w:u w:val="single"/>
          <w:rtl/>
        </w:rPr>
      </w:pPr>
    </w:p>
    <w:p w:rsidR="000E22CA" w:rsidRDefault="000E22CA" w:rsidP="0024075D">
      <w:pPr>
        <w:pStyle w:val="Default"/>
        <w:rPr>
          <w:u w:val="single"/>
          <w:rtl/>
        </w:rPr>
      </w:pPr>
    </w:p>
    <w:p w:rsidR="000E22CA" w:rsidRDefault="00C25836" w:rsidP="00A059C8">
      <w:pPr>
        <w:pStyle w:val="Default"/>
        <w:jc w:val="center"/>
        <w:rPr>
          <w:sz w:val="32"/>
          <w:szCs w:val="32"/>
        </w:rPr>
      </w:pPr>
      <w:r w:rsidRPr="00C25836">
        <w:rPr>
          <w:sz w:val="32"/>
          <w:szCs w:val="32"/>
        </w:rPr>
        <w:t>Ref</w:t>
      </w:r>
      <w:r w:rsidR="00A059C8">
        <w:rPr>
          <w:sz w:val="32"/>
          <w:szCs w:val="32"/>
        </w:rPr>
        <w:t>ere</w:t>
      </w:r>
      <w:r w:rsidRPr="00C25836">
        <w:rPr>
          <w:sz w:val="32"/>
          <w:szCs w:val="32"/>
        </w:rPr>
        <w:t>nces</w:t>
      </w:r>
    </w:p>
    <w:p w:rsidR="00C25836" w:rsidRPr="00C25836" w:rsidRDefault="00C25836" w:rsidP="0024075D">
      <w:pPr>
        <w:pStyle w:val="Default"/>
        <w:rPr>
          <w:sz w:val="32"/>
          <w:szCs w:val="32"/>
          <w:rtl/>
        </w:rPr>
      </w:pPr>
    </w:p>
    <w:p w:rsidR="000E22CA" w:rsidRDefault="000E22CA" w:rsidP="0024075D">
      <w:pPr>
        <w:pStyle w:val="Default"/>
        <w:rPr>
          <w:u w:val="single"/>
          <w:rtl/>
        </w:rPr>
      </w:pPr>
    </w:p>
    <w:p w:rsidR="00A059C8" w:rsidRPr="00A059C8" w:rsidRDefault="00A059C8" w:rsidP="00A059C8">
      <w:pPr>
        <w:pStyle w:val="ListParagraph"/>
        <w:numPr>
          <w:ilvl w:val="0"/>
          <w:numId w:val="8"/>
        </w:numPr>
        <w:autoSpaceDE w:val="0"/>
        <w:autoSpaceDN w:val="0"/>
        <w:bidi w:val="0"/>
        <w:adjustRightInd w:val="0"/>
        <w:spacing w:after="0" w:line="240" w:lineRule="auto"/>
        <w:ind w:left="360" w:hanging="284"/>
        <w:rPr>
          <w:rFonts w:ascii="Times New Roman" w:eastAsiaTheme="minorHAnsi" w:hAnsi="Times New Roman" w:cs="Times New Roman"/>
          <w:color w:val="000000"/>
          <w:sz w:val="24"/>
          <w:szCs w:val="24"/>
          <w:rtl/>
        </w:rPr>
      </w:pPr>
      <w:r w:rsidRPr="00A059C8">
        <w:rPr>
          <w:rFonts w:ascii="Times New Roman" w:eastAsiaTheme="minorHAnsi" w:hAnsi="Times New Roman" w:cs="Times New Roman"/>
          <w:color w:val="000000"/>
          <w:sz w:val="24"/>
          <w:szCs w:val="24"/>
        </w:rPr>
        <w:t xml:space="preserve">Cimetta, Adriana; </w:t>
      </w:r>
      <w:proofErr w:type="spellStart"/>
      <w:r w:rsidRPr="00A059C8">
        <w:rPr>
          <w:rFonts w:ascii="Times New Roman" w:eastAsiaTheme="minorHAnsi" w:hAnsi="Times New Roman" w:cs="Times New Roman"/>
          <w:color w:val="000000"/>
          <w:sz w:val="24"/>
          <w:szCs w:val="24"/>
        </w:rPr>
        <w:t>Agostino</w:t>
      </w:r>
      <w:proofErr w:type="spellEnd"/>
      <w:r w:rsidRPr="00A059C8">
        <w:rPr>
          <w:rFonts w:ascii="Times New Roman" w:eastAsiaTheme="minorHAnsi" w:hAnsi="Times New Roman" w:cs="Times New Roman"/>
          <w:color w:val="000000"/>
          <w:sz w:val="24"/>
          <w:szCs w:val="24"/>
        </w:rPr>
        <w:t>, V. D; and Levin, J</w:t>
      </w:r>
      <w:proofErr w:type="gramStart"/>
      <w:r w:rsidRPr="00A059C8">
        <w:rPr>
          <w:rFonts w:ascii="Times New Roman" w:eastAsiaTheme="minorHAnsi" w:hAnsi="Times New Roman" w:cs="Times New Roman"/>
          <w:color w:val="000000"/>
          <w:sz w:val="24"/>
          <w:szCs w:val="24"/>
        </w:rPr>
        <w:t>.(</w:t>
      </w:r>
      <w:proofErr w:type="gramEnd"/>
      <w:r w:rsidRPr="00A059C8">
        <w:rPr>
          <w:rFonts w:ascii="Times New Roman" w:eastAsiaTheme="minorHAnsi" w:hAnsi="Times New Roman" w:cs="Times New Roman"/>
          <w:color w:val="000000"/>
          <w:sz w:val="24"/>
          <w:szCs w:val="24"/>
        </w:rPr>
        <w:t>2010). Can High School Achievement Tests Serve to Select College Students? Measurement: Issues and Practice. 29, No. 2, pp. 3–12.</w:t>
      </w:r>
    </w:p>
    <w:p w:rsidR="00A059C8" w:rsidRPr="00A059C8" w:rsidRDefault="00A059C8" w:rsidP="00A059C8">
      <w:pPr>
        <w:pStyle w:val="ListParagraph"/>
        <w:autoSpaceDE w:val="0"/>
        <w:autoSpaceDN w:val="0"/>
        <w:bidi w:val="0"/>
        <w:adjustRightInd w:val="0"/>
        <w:spacing w:after="0" w:line="240" w:lineRule="auto"/>
        <w:ind w:left="284"/>
        <w:jc w:val="both"/>
        <w:rPr>
          <w:rFonts w:asciiTheme="minorBidi" w:hAnsiTheme="minorBidi"/>
          <w:sz w:val="24"/>
          <w:szCs w:val="24"/>
        </w:rPr>
      </w:pPr>
    </w:p>
    <w:p w:rsidR="004E1594" w:rsidRPr="004E1594" w:rsidRDefault="004E1594" w:rsidP="004E1594">
      <w:pPr>
        <w:pStyle w:val="ListParagraph"/>
        <w:numPr>
          <w:ilvl w:val="0"/>
          <w:numId w:val="8"/>
        </w:numPr>
        <w:autoSpaceDE w:val="0"/>
        <w:autoSpaceDN w:val="0"/>
        <w:bidi w:val="0"/>
        <w:adjustRightInd w:val="0"/>
        <w:spacing w:after="0" w:line="240" w:lineRule="auto"/>
        <w:ind w:left="360" w:hanging="284"/>
        <w:rPr>
          <w:rFonts w:ascii="Times New Roman" w:eastAsiaTheme="minorHAnsi" w:hAnsi="Times New Roman" w:cs="Times New Roman"/>
          <w:color w:val="000000"/>
          <w:sz w:val="24"/>
          <w:szCs w:val="24"/>
        </w:rPr>
      </w:pPr>
      <w:r w:rsidRPr="004E1594">
        <w:rPr>
          <w:rFonts w:ascii="Times New Roman" w:eastAsiaTheme="minorHAnsi" w:hAnsi="Times New Roman" w:cs="Times New Roman"/>
          <w:color w:val="000000"/>
          <w:sz w:val="24"/>
          <w:szCs w:val="24"/>
        </w:rPr>
        <w:t>Crouse, J., &amp; Trusheim, D. (1988). The case against the SAT. Chicago, IL: University of Chicago Press.</w:t>
      </w:r>
    </w:p>
    <w:p w:rsidR="00A059C8" w:rsidRPr="004E1594" w:rsidRDefault="004E1594" w:rsidP="004E1594">
      <w:pPr>
        <w:pStyle w:val="ListParagraph"/>
        <w:numPr>
          <w:ilvl w:val="0"/>
          <w:numId w:val="8"/>
        </w:numPr>
        <w:autoSpaceDE w:val="0"/>
        <w:autoSpaceDN w:val="0"/>
        <w:bidi w:val="0"/>
        <w:adjustRightInd w:val="0"/>
        <w:spacing w:after="0" w:line="240" w:lineRule="auto"/>
        <w:ind w:left="360" w:hanging="284"/>
        <w:rPr>
          <w:rFonts w:ascii="Times New Roman" w:eastAsiaTheme="minorHAnsi" w:hAnsi="Times New Roman" w:cs="Times New Roman"/>
          <w:color w:val="000000"/>
          <w:sz w:val="24"/>
          <w:szCs w:val="24"/>
        </w:rPr>
      </w:pPr>
      <w:r w:rsidRPr="004E1594">
        <w:rPr>
          <w:rFonts w:ascii="Times New Roman" w:eastAsiaTheme="minorHAnsi" w:hAnsi="Times New Roman" w:cs="Times New Roman"/>
          <w:color w:val="000000"/>
          <w:sz w:val="24"/>
          <w:szCs w:val="24"/>
        </w:rPr>
        <w:t>Geiser, S., &amp; Santelices, M. V. (2007). Validity of high-school grades in predicting student success beyond the freshman year. (Research &amp; Occasional Paper Series: CSHE.6.07.) Berkeley: University of California Center for Studies in Higher Education.</w:t>
      </w:r>
    </w:p>
    <w:p w:rsidR="00A059C8" w:rsidRPr="00A059C8" w:rsidRDefault="00A059C8" w:rsidP="004E1594">
      <w:pPr>
        <w:pStyle w:val="ListParagraph"/>
        <w:bidi w:val="0"/>
        <w:rPr>
          <w:rFonts w:ascii="Times New Roman" w:hAnsi="Times New Roman" w:cs="Times New Roman"/>
          <w:sz w:val="24"/>
          <w:szCs w:val="24"/>
        </w:rPr>
      </w:pPr>
    </w:p>
    <w:p w:rsidR="00A059C8" w:rsidRDefault="004E1594" w:rsidP="00A059C8">
      <w:pPr>
        <w:pStyle w:val="ListParagraph"/>
        <w:numPr>
          <w:ilvl w:val="0"/>
          <w:numId w:val="8"/>
        </w:numPr>
        <w:autoSpaceDE w:val="0"/>
        <w:autoSpaceDN w:val="0"/>
        <w:bidi w:val="0"/>
        <w:adjustRightInd w:val="0"/>
        <w:spacing w:after="0" w:line="240" w:lineRule="auto"/>
        <w:ind w:left="360" w:hanging="284"/>
        <w:rPr>
          <w:rFonts w:ascii="Times New Roman" w:eastAsiaTheme="minorHAnsi" w:hAnsi="Times New Roman" w:cs="Times New Roman"/>
          <w:color w:val="000000"/>
          <w:sz w:val="24"/>
          <w:szCs w:val="24"/>
        </w:rPr>
      </w:pPr>
      <w:r w:rsidRPr="00BA0016">
        <w:rPr>
          <w:rFonts w:ascii="Times New Roman" w:hAnsi="Times New Roman" w:cs="Times New Roman"/>
          <w:sz w:val="24"/>
          <w:szCs w:val="24"/>
        </w:rPr>
        <w:t>Geiser, Saul and Studley, Roger (2003</w:t>
      </w:r>
      <w:proofErr w:type="gramStart"/>
      <w:r w:rsidRPr="00BA0016">
        <w:rPr>
          <w:rFonts w:ascii="Times New Roman" w:hAnsi="Times New Roman" w:cs="Times New Roman"/>
          <w:sz w:val="24"/>
          <w:szCs w:val="24"/>
        </w:rPr>
        <w:t xml:space="preserve">)  </w:t>
      </w:r>
      <w:r w:rsidRPr="004E1594">
        <w:rPr>
          <w:rFonts w:ascii="Times New Roman" w:hAnsi="Times New Roman" w:cs="Times New Roman"/>
          <w:i/>
          <w:iCs/>
          <w:sz w:val="24"/>
          <w:szCs w:val="24"/>
        </w:rPr>
        <w:t>predictive</w:t>
      </w:r>
      <w:proofErr w:type="gramEnd"/>
      <w:r w:rsidRPr="004E1594">
        <w:rPr>
          <w:rFonts w:ascii="Times New Roman" w:hAnsi="Times New Roman" w:cs="Times New Roman"/>
          <w:i/>
          <w:iCs/>
          <w:sz w:val="24"/>
          <w:szCs w:val="24"/>
        </w:rPr>
        <w:t xml:space="preserve"> Validity and Differential Impact of the SAT1 and SAT11</w:t>
      </w:r>
      <w:r w:rsidRPr="004E1594">
        <w:rPr>
          <w:rFonts w:ascii="Times New Roman" w:hAnsi="Times New Roman" w:cs="Times New Roman"/>
          <w:sz w:val="24"/>
          <w:szCs w:val="24"/>
        </w:rPr>
        <w:t xml:space="preserve">  at the University of California</w:t>
      </w:r>
      <w:r>
        <w:rPr>
          <w:rFonts w:ascii="Times New Roman" w:hAnsi="Times New Roman" w:cs="Times New Roman"/>
          <w:sz w:val="24"/>
          <w:szCs w:val="24"/>
        </w:rPr>
        <w:t>.</w:t>
      </w:r>
      <w:r w:rsidRPr="004E1594">
        <w:rPr>
          <w:rFonts w:ascii="Times New Roman" w:eastAsiaTheme="minorHAnsi" w:hAnsi="Times New Roman" w:cs="Times New Roman"/>
          <w:color w:val="000000"/>
          <w:sz w:val="24"/>
          <w:szCs w:val="24"/>
        </w:rPr>
        <w:t xml:space="preserve"> </w:t>
      </w:r>
    </w:p>
    <w:p w:rsidR="004E1594" w:rsidRPr="004E1594" w:rsidRDefault="004E1594" w:rsidP="004E1594">
      <w:pPr>
        <w:autoSpaceDE w:val="0"/>
        <w:autoSpaceDN w:val="0"/>
        <w:bidi w:val="0"/>
        <w:adjustRightInd w:val="0"/>
        <w:spacing w:after="0" w:line="240" w:lineRule="auto"/>
        <w:ind w:left="76"/>
        <w:rPr>
          <w:rFonts w:ascii="Times New Roman" w:eastAsiaTheme="minorHAnsi" w:hAnsi="Times New Roman" w:cs="Times New Roman"/>
          <w:color w:val="000000"/>
          <w:sz w:val="24"/>
          <w:szCs w:val="24"/>
        </w:rPr>
      </w:pPr>
    </w:p>
    <w:p w:rsidR="00A059C8" w:rsidRDefault="00A059C8" w:rsidP="004A323E">
      <w:pPr>
        <w:pStyle w:val="ListParagraph"/>
        <w:numPr>
          <w:ilvl w:val="0"/>
          <w:numId w:val="8"/>
        </w:numPr>
        <w:autoSpaceDE w:val="0"/>
        <w:autoSpaceDN w:val="0"/>
        <w:bidi w:val="0"/>
        <w:adjustRightInd w:val="0"/>
        <w:spacing w:after="0" w:line="240" w:lineRule="auto"/>
        <w:ind w:left="284" w:hanging="284"/>
        <w:jc w:val="both"/>
        <w:rPr>
          <w:rFonts w:ascii="Times New Roman" w:hAnsi="Times New Roman" w:cs="Times New Roman"/>
          <w:sz w:val="24"/>
          <w:szCs w:val="24"/>
        </w:rPr>
      </w:pPr>
      <w:proofErr w:type="spellStart"/>
      <w:r w:rsidRPr="004E1594">
        <w:rPr>
          <w:rFonts w:ascii="Times New Roman" w:hAnsi="Times New Roman" w:cs="Times New Roman"/>
          <w:sz w:val="24"/>
          <w:szCs w:val="24"/>
        </w:rPr>
        <w:t>Krick</w:t>
      </w:r>
      <w:proofErr w:type="spellEnd"/>
      <w:r w:rsidRPr="004E1594">
        <w:rPr>
          <w:rFonts w:ascii="Times New Roman" w:hAnsi="Times New Roman" w:cs="Times New Roman"/>
          <w:sz w:val="24"/>
          <w:szCs w:val="24"/>
        </w:rPr>
        <w:t>, R; Howard, R. and D</w:t>
      </w:r>
      <w:r w:rsidR="004A323E">
        <w:rPr>
          <w:rFonts w:ascii="Times New Roman" w:hAnsi="Times New Roman" w:cs="Times New Roman"/>
          <w:sz w:val="24"/>
          <w:szCs w:val="24"/>
        </w:rPr>
        <w:t xml:space="preserve">. </w:t>
      </w:r>
      <w:proofErr w:type="spellStart"/>
      <w:r w:rsidRPr="004E1594">
        <w:rPr>
          <w:rFonts w:ascii="Times New Roman" w:hAnsi="Times New Roman" w:cs="Times New Roman"/>
          <w:sz w:val="24"/>
          <w:szCs w:val="24"/>
        </w:rPr>
        <w:t>Woodoid</w:t>
      </w:r>
      <w:proofErr w:type="spellEnd"/>
      <w:r w:rsidRPr="004E1594">
        <w:rPr>
          <w:rFonts w:ascii="Times New Roman" w:hAnsi="Times New Roman" w:cs="Times New Roman"/>
          <w:sz w:val="24"/>
          <w:szCs w:val="24"/>
        </w:rPr>
        <w:t xml:space="preserve">, P. H. (1997). Graduation Rates: </w:t>
      </w:r>
      <w:r w:rsidRPr="004E1594">
        <w:rPr>
          <w:rFonts w:ascii="Times New Roman" w:hAnsi="Times New Roman" w:cs="Times New Roman"/>
          <w:i/>
          <w:iCs/>
          <w:sz w:val="24"/>
          <w:szCs w:val="24"/>
        </w:rPr>
        <w:t>Do Students’ Academic Program Choices make a Difference</w:t>
      </w:r>
      <w:r w:rsidRPr="00BA0016">
        <w:rPr>
          <w:rFonts w:ascii="Times New Roman" w:hAnsi="Times New Roman" w:cs="Times New Roman"/>
          <w:sz w:val="24"/>
          <w:szCs w:val="24"/>
        </w:rPr>
        <w:t>? ERIC No: ED 417677. Paper presented at the annual forum of the Association for institutional Research, Orlando</w:t>
      </w:r>
    </w:p>
    <w:p w:rsidR="00571E42" w:rsidRDefault="007E4895" w:rsidP="00571E42">
      <w:pPr>
        <w:pStyle w:val="ListParagraph"/>
        <w:numPr>
          <w:ilvl w:val="0"/>
          <w:numId w:val="8"/>
        </w:numPr>
        <w:autoSpaceDE w:val="0"/>
        <w:autoSpaceDN w:val="0"/>
        <w:bidi w:val="0"/>
        <w:adjustRightInd w:val="0"/>
        <w:spacing w:after="0" w:line="240" w:lineRule="auto"/>
        <w:ind w:left="284" w:hanging="284"/>
        <w:jc w:val="both"/>
        <w:rPr>
          <w:rFonts w:ascii="Times New Roman" w:hAnsi="Times New Roman" w:cs="Times New Roman"/>
          <w:sz w:val="24"/>
          <w:szCs w:val="24"/>
        </w:rPr>
      </w:pPr>
      <w:r w:rsidRPr="00BA0016">
        <w:rPr>
          <w:rFonts w:ascii="Times New Roman" w:hAnsi="Times New Roman" w:cs="Times New Roman"/>
          <w:sz w:val="24"/>
          <w:szCs w:val="24"/>
        </w:rPr>
        <w:t xml:space="preserve">Morgan, R. (1989). </w:t>
      </w:r>
      <w:r w:rsidRPr="00BA0016">
        <w:rPr>
          <w:rFonts w:ascii="Times New Roman" w:hAnsi="Times New Roman" w:cs="Times New Roman"/>
          <w:i/>
          <w:iCs/>
          <w:sz w:val="24"/>
          <w:szCs w:val="24"/>
        </w:rPr>
        <w:t>Analysis of the Predictive Validity of the SAT and High School Grades from 1976 to 1985</w:t>
      </w:r>
      <w:r w:rsidRPr="00BA0016">
        <w:rPr>
          <w:rFonts w:ascii="Times New Roman" w:hAnsi="Times New Roman" w:cs="Times New Roman"/>
          <w:sz w:val="24"/>
          <w:szCs w:val="24"/>
        </w:rPr>
        <w:t>. (College Board Research Report No. 89-7). New York: The College Board.</w:t>
      </w:r>
    </w:p>
    <w:p w:rsidR="00571E42" w:rsidRDefault="004A323E" w:rsidP="004A323E">
      <w:pPr>
        <w:pStyle w:val="ListParagraph"/>
        <w:numPr>
          <w:ilvl w:val="0"/>
          <w:numId w:val="8"/>
        </w:numPr>
        <w:autoSpaceDE w:val="0"/>
        <w:autoSpaceDN w:val="0"/>
        <w:bidi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NCA (2011). Report to the Supreme Counsel on the Validity of the Admission Criteria. </w:t>
      </w:r>
    </w:p>
    <w:p w:rsidR="00571E42" w:rsidRPr="00571E42" w:rsidRDefault="00571E42" w:rsidP="00571E42">
      <w:pPr>
        <w:pStyle w:val="ListParagraph"/>
        <w:numPr>
          <w:ilvl w:val="0"/>
          <w:numId w:val="8"/>
        </w:numPr>
        <w:autoSpaceDE w:val="0"/>
        <w:autoSpaceDN w:val="0"/>
        <w:bidi w:val="0"/>
        <w:adjustRightInd w:val="0"/>
        <w:spacing w:after="0" w:line="240" w:lineRule="auto"/>
        <w:ind w:left="284" w:hanging="284"/>
        <w:jc w:val="both"/>
        <w:rPr>
          <w:rFonts w:ascii="Times New Roman" w:hAnsi="Times New Roman" w:cs="Times New Roman"/>
          <w:sz w:val="24"/>
          <w:szCs w:val="24"/>
        </w:rPr>
      </w:pPr>
      <w:r w:rsidRPr="00571E42">
        <w:rPr>
          <w:rFonts w:ascii="Times New Roman" w:hAnsi="Times New Roman" w:cs="Times New Roman"/>
          <w:sz w:val="24"/>
          <w:szCs w:val="24"/>
        </w:rPr>
        <w:t>Ramist, L., Lewis, C., &amp; McCamley-Jenkins, L. (2001). Using achievement tests/SAT II subject tests to demonstrate achievement and predict college grades: Sex, language, ethnic, and parental education groups (College Board Report No. 2001-5). New York: College Entrance Examination Board.</w:t>
      </w:r>
    </w:p>
    <w:p w:rsidR="000E22CA" w:rsidRDefault="000E22CA" w:rsidP="0024075D">
      <w:pPr>
        <w:pStyle w:val="Default"/>
        <w:rPr>
          <w:u w:val="single"/>
          <w:rtl/>
        </w:rPr>
      </w:pPr>
    </w:p>
    <w:p w:rsidR="000E22CA" w:rsidRDefault="000E22CA" w:rsidP="0024075D">
      <w:pPr>
        <w:pStyle w:val="Default"/>
        <w:rPr>
          <w:u w:val="single"/>
          <w:rtl/>
        </w:rPr>
      </w:pPr>
    </w:p>
    <w:p w:rsidR="000E22CA" w:rsidRDefault="000E22CA" w:rsidP="0024075D">
      <w:pPr>
        <w:pStyle w:val="Default"/>
        <w:rPr>
          <w:u w:val="single"/>
        </w:rPr>
      </w:pPr>
    </w:p>
    <w:p w:rsidR="00FB6ABA" w:rsidRDefault="00FB6ABA" w:rsidP="0024075D">
      <w:pPr>
        <w:pStyle w:val="Default"/>
        <w:rPr>
          <w:u w:val="single"/>
        </w:rPr>
      </w:pPr>
    </w:p>
    <w:p w:rsidR="00FB6ABA" w:rsidRDefault="00FB6ABA" w:rsidP="0024075D">
      <w:pPr>
        <w:pStyle w:val="Default"/>
        <w:rPr>
          <w:u w:val="single"/>
        </w:rPr>
      </w:pPr>
    </w:p>
    <w:p w:rsidR="00FB6ABA" w:rsidRDefault="00FB6ABA" w:rsidP="0024075D">
      <w:pPr>
        <w:pStyle w:val="Default"/>
        <w:rPr>
          <w:u w:val="single"/>
        </w:rPr>
      </w:pPr>
    </w:p>
    <w:p w:rsidR="00FB6ABA" w:rsidRDefault="00FB6ABA" w:rsidP="00215EEB">
      <w:pPr>
        <w:pStyle w:val="Default"/>
        <w:rPr>
          <w:u w:val="single"/>
        </w:rPr>
      </w:pPr>
    </w:p>
    <w:p w:rsidR="00FB6ABA" w:rsidRDefault="00FB6ABA" w:rsidP="0024075D">
      <w:pPr>
        <w:pStyle w:val="Default"/>
        <w:rPr>
          <w:u w:val="single"/>
        </w:rPr>
      </w:pPr>
    </w:p>
    <w:p w:rsidR="00FB6ABA" w:rsidRDefault="00FB6ABA" w:rsidP="0024075D">
      <w:pPr>
        <w:pStyle w:val="Default"/>
        <w:rPr>
          <w:u w:val="single"/>
        </w:rPr>
      </w:pPr>
    </w:p>
    <w:p w:rsidR="00FB6ABA" w:rsidRDefault="00FB6ABA" w:rsidP="0024075D">
      <w:pPr>
        <w:pStyle w:val="Default"/>
        <w:rPr>
          <w:u w:val="single"/>
        </w:rPr>
      </w:pPr>
    </w:p>
    <w:p w:rsidR="00FB6ABA" w:rsidRDefault="00FB6ABA" w:rsidP="0024075D">
      <w:pPr>
        <w:pStyle w:val="Default"/>
        <w:rPr>
          <w:u w:val="single"/>
        </w:rPr>
      </w:pPr>
    </w:p>
    <w:p w:rsidR="00FB6ABA" w:rsidRDefault="00FB6ABA" w:rsidP="0024075D">
      <w:pPr>
        <w:pStyle w:val="Default"/>
        <w:rPr>
          <w:u w:val="single"/>
        </w:rPr>
      </w:pPr>
    </w:p>
    <w:p w:rsidR="00FB6ABA" w:rsidRDefault="00FB6ABA" w:rsidP="00FB6ABA"/>
    <w:p w:rsidR="00FB6ABA" w:rsidRDefault="00FB6ABA" w:rsidP="000E22CA">
      <w:pPr>
        <w:bidi w:val="0"/>
        <w:jc w:val="both"/>
        <w:sectPr w:rsidR="00FB6ABA" w:rsidSect="00E5734C">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rsidR="000E22CA" w:rsidRPr="000E22CA" w:rsidRDefault="000E22CA" w:rsidP="000E22CA">
      <w:pPr>
        <w:bidi w:val="0"/>
        <w:rPr>
          <w:b/>
          <w:bCs/>
          <w:sz w:val="32"/>
          <w:szCs w:val="32"/>
        </w:rPr>
      </w:pPr>
      <w:r w:rsidRPr="000E22CA">
        <w:rPr>
          <w:b/>
          <w:bCs/>
          <w:sz w:val="32"/>
          <w:szCs w:val="32"/>
        </w:rPr>
        <w:lastRenderedPageBreak/>
        <w:t>Appendix: A</w:t>
      </w:r>
    </w:p>
    <w:p w:rsidR="0063442C" w:rsidRDefault="0063442C" w:rsidP="0063442C">
      <w:pPr>
        <w:pStyle w:val="Default"/>
      </w:pPr>
      <w:r>
        <w:t>Figure A1: average score for GAT, HSGPA, and FYGPA for all Universities</w:t>
      </w:r>
    </w:p>
    <w:p w:rsidR="0063442C" w:rsidRDefault="0063442C" w:rsidP="0063442C">
      <w:pPr>
        <w:pStyle w:val="Default"/>
      </w:pPr>
    </w:p>
    <w:p w:rsidR="00FB6ABA" w:rsidRDefault="009526A4" w:rsidP="009526A4">
      <w:pPr>
        <w:bidi w:val="0"/>
      </w:pPr>
      <w:r>
        <w:rPr>
          <w:noProof/>
        </w:rPr>
        <w:drawing>
          <wp:inline distT="0" distB="0" distL="0" distR="0" wp14:anchorId="031B48BB" wp14:editId="48C1DD10">
            <wp:extent cx="5279571" cy="2416629"/>
            <wp:effectExtent l="0" t="0" r="1651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3442C" w:rsidRDefault="0063442C" w:rsidP="0063442C">
      <w:pPr>
        <w:bidi w:val="0"/>
      </w:pPr>
    </w:p>
    <w:p w:rsidR="0063442C" w:rsidRDefault="0063442C" w:rsidP="0063442C">
      <w:pPr>
        <w:pStyle w:val="Default"/>
      </w:pPr>
      <w:r>
        <w:t>Figure A2: average score for GAT, HSGPA, and FYGPA for Islamic University</w:t>
      </w:r>
    </w:p>
    <w:p w:rsidR="0063442C" w:rsidRDefault="0063442C" w:rsidP="0063442C">
      <w:pPr>
        <w:pStyle w:val="Default"/>
      </w:pPr>
    </w:p>
    <w:p w:rsidR="0063442C" w:rsidRDefault="00A0559D" w:rsidP="0063442C">
      <w:pPr>
        <w:pStyle w:val="Default"/>
      </w:pPr>
      <w:r>
        <w:rPr>
          <w:noProof/>
        </w:rPr>
        <w:drawing>
          <wp:inline distT="0" distB="0" distL="0" distR="0" wp14:anchorId="5230C47F" wp14:editId="33EF0BB6">
            <wp:extent cx="5453743" cy="2601686"/>
            <wp:effectExtent l="0" t="0" r="13970" b="273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A0559D" w:rsidRDefault="00A0559D" w:rsidP="0063442C">
      <w:pPr>
        <w:pStyle w:val="Default"/>
      </w:pPr>
    </w:p>
    <w:p w:rsidR="00A0559D" w:rsidRDefault="00A0559D" w:rsidP="0063442C">
      <w:pPr>
        <w:pStyle w:val="Default"/>
      </w:pPr>
    </w:p>
    <w:p w:rsidR="00A0559D" w:rsidRDefault="00A0559D" w:rsidP="0063442C">
      <w:pPr>
        <w:pStyle w:val="Default"/>
      </w:pPr>
    </w:p>
    <w:p w:rsidR="00A0559D" w:rsidRDefault="00A0559D" w:rsidP="0063442C">
      <w:pPr>
        <w:pStyle w:val="Default"/>
      </w:pPr>
    </w:p>
    <w:p w:rsidR="00A0559D" w:rsidRDefault="00A0559D" w:rsidP="0063442C">
      <w:pPr>
        <w:pStyle w:val="Default"/>
      </w:pPr>
    </w:p>
    <w:p w:rsidR="0063442C" w:rsidRDefault="0063442C" w:rsidP="0063442C">
      <w:pPr>
        <w:pStyle w:val="Default"/>
      </w:pPr>
    </w:p>
    <w:p w:rsidR="00A0559D" w:rsidRDefault="00A0559D" w:rsidP="0063442C">
      <w:pPr>
        <w:pStyle w:val="Default"/>
      </w:pPr>
    </w:p>
    <w:p w:rsidR="0063442C" w:rsidRDefault="0063442C" w:rsidP="0063442C">
      <w:pPr>
        <w:pStyle w:val="Default"/>
      </w:pPr>
      <w:r>
        <w:lastRenderedPageBreak/>
        <w:t>Figure A3: average score for GAT, HSGPA, and FYGPA for KAU University</w:t>
      </w:r>
    </w:p>
    <w:p w:rsidR="0063442C" w:rsidRDefault="0063442C" w:rsidP="0063442C">
      <w:pPr>
        <w:pStyle w:val="Default"/>
      </w:pPr>
    </w:p>
    <w:p w:rsidR="0063442C" w:rsidRDefault="005A597B" w:rsidP="0063442C">
      <w:pPr>
        <w:pStyle w:val="Default"/>
      </w:pPr>
      <w:r>
        <w:rPr>
          <w:noProof/>
        </w:rPr>
        <w:drawing>
          <wp:inline distT="0" distB="0" distL="0" distR="0" wp14:anchorId="2671D292" wp14:editId="77A7F9C9">
            <wp:extent cx="5730240" cy="2613660"/>
            <wp:effectExtent l="0" t="0" r="2286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r>
        <w:t>Figure A4: average score for GAT, HSGPA, and FYGPA for KFUPM University</w:t>
      </w:r>
    </w:p>
    <w:p w:rsidR="005A597B" w:rsidRDefault="005A597B" w:rsidP="0063442C">
      <w:pPr>
        <w:pStyle w:val="Default"/>
      </w:pPr>
    </w:p>
    <w:p w:rsidR="0063442C" w:rsidRDefault="005A597B" w:rsidP="0063442C">
      <w:pPr>
        <w:pStyle w:val="Default"/>
      </w:pPr>
      <w:r>
        <w:rPr>
          <w:noProof/>
        </w:rPr>
        <w:drawing>
          <wp:inline distT="0" distB="0" distL="0" distR="0" wp14:anchorId="4DD62C20" wp14:editId="140EE2B3">
            <wp:extent cx="5730240" cy="2583180"/>
            <wp:effectExtent l="0" t="0" r="22860" b="266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r>
        <w:t>Figure A5: average score for GAT, HSGPA, and FYGPA for KKU University</w:t>
      </w:r>
    </w:p>
    <w:p w:rsidR="0063442C" w:rsidRDefault="0063442C" w:rsidP="0063442C">
      <w:pPr>
        <w:pStyle w:val="Default"/>
      </w:pPr>
    </w:p>
    <w:p w:rsidR="0063442C" w:rsidRDefault="0071127E" w:rsidP="0063442C">
      <w:pPr>
        <w:pStyle w:val="Default"/>
      </w:pPr>
      <w:r>
        <w:rPr>
          <w:noProof/>
        </w:rPr>
        <w:drawing>
          <wp:inline distT="0" distB="0" distL="0" distR="0" wp14:anchorId="6411DF72" wp14:editId="1CB61506">
            <wp:extent cx="5736771" cy="2471057"/>
            <wp:effectExtent l="0" t="0" r="16510" b="247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FF362C">
      <w:pPr>
        <w:pStyle w:val="Default"/>
      </w:pPr>
      <w:r>
        <w:t xml:space="preserve">Figure A6: average score for GAT, HSGPA, and FYGPA for KSU </w:t>
      </w:r>
      <w:proofErr w:type="gramStart"/>
      <w:r w:rsidR="00FF362C">
        <w:t>u</w:t>
      </w:r>
      <w:r>
        <w:t>niversity</w:t>
      </w:r>
      <w:proofErr w:type="gramEnd"/>
    </w:p>
    <w:p w:rsidR="0063442C" w:rsidRDefault="0063442C" w:rsidP="0063442C">
      <w:pPr>
        <w:pStyle w:val="Default"/>
      </w:pPr>
    </w:p>
    <w:p w:rsidR="0063442C" w:rsidRDefault="00FF362C" w:rsidP="0063442C">
      <w:pPr>
        <w:pStyle w:val="Default"/>
      </w:pPr>
      <w:r>
        <w:rPr>
          <w:noProof/>
        </w:rPr>
        <w:drawing>
          <wp:inline distT="0" distB="0" distL="0" distR="0" wp14:anchorId="158BBAB1" wp14:editId="6333155E">
            <wp:extent cx="5736771" cy="2383972"/>
            <wp:effectExtent l="0" t="0" r="16510"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8C0BE7" w:rsidRDefault="008C0BE7" w:rsidP="00B2792D">
      <w:pPr>
        <w:pStyle w:val="Default"/>
      </w:pPr>
      <w:r>
        <w:t>Figure A7: average score for GAT, HSGPA, and FYGPA for</w:t>
      </w:r>
      <w:r w:rsidR="00B2792D">
        <w:t xml:space="preserve"> TU</w:t>
      </w:r>
      <w:r>
        <w:t xml:space="preserve"> </w:t>
      </w:r>
      <w:proofErr w:type="gramStart"/>
      <w:r w:rsidR="00B2792D">
        <w:t>u</w:t>
      </w:r>
      <w:r>
        <w:t>niversity</w:t>
      </w:r>
      <w:proofErr w:type="gramEnd"/>
    </w:p>
    <w:p w:rsidR="0063442C" w:rsidRDefault="00B2792D" w:rsidP="0063442C">
      <w:pPr>
        <w:pStyle w:val="Default"/>
      </w:pPr>
      <w:r>
        <w:rPr>
          <w:noProof/>
        </w:rPr>
        <w:drawing>
          <wp:inline distT="0" distB="0" distL="0" distR="0" wp14:anchorId="4ACA8BBA" wp14:editId="1E81CD2E">
            <wp:extent cx="5736771" cy="2492829"/>
            <wp:effectExtent l="0" t="0" r="16510" b="222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3442C" w:rsidRDefault="0063442C" w:rsidP="0063442C">
      <w:pPr>
        <w:pStyle w:val="Default"/>
      </w:pPr>
    </w:p>
    <w:p w:rsidR="0063442C" w:rsidRDefault="0063442C" w:rsidP="0063442C">
      <w:pPr>
        <w:pStyle w:val="Default"/>
      </w:pPr>
    </w:p>
    <w:p w:rsidR="00AD5A3F" w:rsidRDefault="00AD5A3F" w:rsidP="00AD5A3F">
      <w:pPr>
        <w:pStyle w:val="Default"/>
      </w:pPr>
      <w:r>
        <w:t xml:space="preserve">Figure A8: average score for GAT, HSGPA, and FYGPA for UQU </w:t>
      </w:r>
      <w:proofErr w:type="gramStart"/>
      <w:r>
        <w:t>university</w:t>
      </w:r>
      <w:proofErr w:type="gramEnd"/>
    </w:p>
    <w:p w:rsidR="00AD5A3F" w:rsidRDefault="00AD5A3F" w:rsidP="0063442C">
      <w:pPr>
        <w:pStyle w:val="Default"/>
      </w:pPr>
    </w:p>
    <w:p w:rsidR="00AD5A3F" w:rsidRDefault="00AD5A3F" w:rsidP="0063442C">
      <w:pPr>
        <w:pStyle w:val="Default"/>
      </w:pPr>
      <w:r>
        <w:rPr>
          <w:noProof/>
        </w:rPr>
        <w:drawing>
          <wp:inline distT="0" distB="0" distL="0" distR="0" wp14:anchorId="499DA2E3" wp14:editId="6BB2AE2F">
            <wp:extent cx="5736771" cy="2318657"/>
            <wp:effectExtent l="0" t="0" r="16510" b="2476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p w:rsidR="0063442C" w:rsidRDefault="0063442C" w:rsidP="0063442C">
      <w:pPr>
        <w:pStyle w:val="Default"/>
      </w:pPr>
    </w:p>
    <w:sectPr w:rsidR="0063442C" w:rsidSect="0052444E">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6D" w:rsidRDefault="00B1306D" w:rsidP="00094770">
      <w:pPr>
        <w:spacing w:after="0" w:line="240" w:lineRule="auto"/>
      </w:pPr>
      <w:r>
        <w:separator/>
      </w:r>
    </w:p>
  </w:endnote>
  <w:endnote w:type="continuationSeparator" w:id="0">
    <w:p w:rsidR="00B1306D" w:rsidRDefault="00B1306D" w:rsidP="0009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86" w:rsidRDefault="00320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55717563"/>
      <w:docPartObj>
        <w:docPartGallery w:val="Page Numbers (Bottom of Page)"/>
        <w:docPartUnique/>
      </w:docPartObj>
    </w:sdtPr>
    <w:sdtContent>
      <w:bookmarkStart w:id="0" w:name="_GoBack" w:displacedByCustomXml="prev"/>
      <w:bookmarkEnd w:id="0" w:displacedByCustomXml="prev"/>
      <w:p w:rsidR="00320786" w:rsidRDefault="00320786">
        <w:pPr>
          <w:pStyle w:val="Footer"/>
          <w:jc w:val="center"/>
        </w:pPr>
        <w:r>
          <w:fldChar w:fldCharType="begin"/>
        </w:r>
        <w:r>
          <w:instrText xml:space="preserve"> PAGE   \* MERGEFORMAT </w:instrText>
        </w:r>
        <w:r>
          <w:fldChar w:fldCharType="separate"/>
        </w:r>
        <w:r>
          <w:rPr>
            <w:noProof/>
            <w:rtl/>
          </w:rPr>
          <w:t>5</w:t>
        </w:r>
        <w:r>
          <w:rPr>
            <w:noProof/>
          </w:rPr>
          <w:fldChar w:fldCharType="end"/>
        </w:r>
      </w:p>
    </w:sdtContent>
  </w:sdt>
  <w:p w:rsidR="00094770" w:rsidRDefault="000947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86" w:rsidRDefault="00320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6D" w:rsidRDefault="00B1306D" w:rsidP="00094770">
      <w:pPr>
        <w:spacing w:after="0" w:line="240" w:lineRule="auto"/>
      </w:pPr>
      <w:r>
        <w:separator/>
      </w:r>
    </w:p>
  </w:footnote>
  <w:footnote w:type="continuationSeparator" w:id="0">
    <w:p w:rsidR="00B1306D" w:rsidRDefault="00B1306D" w:rsidP="00094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86" w:rsidRDefault="00320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86" w:rsidRDefault="00320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86" w:rsidRDefault="00320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153"/>
    <w:multiLevelType w:val="hybridMultilevel"/>
    <w:tmpl w:val="85E8A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664"/>
    <w:multiLevelType w:val="hybridMultilevel"/>
    <w:tmpl w:val="B9A0BA90"/>
    <w:lvl w:ilvl="0" w:tplc="774284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F3D63"/>
    <w:multiLevelType w:val="hybridMultilevel"/>
    <w:tmpl w:val="76CE4756"/>
    <w:lvl w:ilvl="0" w:tplc="14C2958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A3641"/>
    <w:multiLevelType w:val="hybridMultilevel"/>
    <w:tmpl w:val="46DE1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D4F92"/>
    <w:multiLevelType w:val="hybridMultilevel"/>
    <w:tmpl w:val="95F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B68BC"/>
    <w:multiLevelType w:val="hybridMultilevel"/>
    <w:tmpl w:val="67B4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C64F7"/>
    <w:multiLevelType w:val="hybridMultilevel"/>
    <w:tmpl w:val="7208168A"/>
    <w:lvl w:ilvl="0" w:tplc="019E7B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6257E84"/>
    <w:multiLevelType w:val="hybridMultilevel"/>
    <w:tmpl w:val="677A4F72"/>
    <w:lvl w:ilvl="0" w:tplc="019E7B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EB80D2D"/>
    <w:multiLevelType w:val="hybridMultilevel"/>
    <w:tmpl w:val="1B82B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B0"/>
    <w:rsid w:val="00037363"/>
    <w:rsid w:val="0004217A"/>
    <w:rsid w:val="0005349A"/>
    <w:rsid w:val="00094770"/>
    <w:rsid w:val="000E22CA"/>
    <w:rsid w:val="000F2217"/>
    <w:rsid w:val="00122B45"/>
    <w:rsid w:val="00132DB1"/>
    <w:rsid w:val="00157C9B"/>
    <w:rsid w:val="001624BF"/>
    <w:rsid w:val="001762DE"/>
    <w:rsid w:val="001C38BD"/>
    <w:rsid w:val="001F3C5F"/>
    <w:rsid w:val="00215EEB"/>
    <w:rsid w:val="0022116E"/>
    <w:rsid w:val="0024075D"/>
    <w:rsid w:val="0028082D"/>
    <w:rsid w:val="00284595"/>
    <w:rsid w:val="00284D55"/>
    <w:rsid w:val="002A48B0"/>
    <w:rsid w:val="002B4927"/>
    <w:rsid w:val="002B518F"/>
    <w:rsid w:val="002F1EEF"/>
    <w:rsid w:val="002F4C0B"/>
    <w:rsid w:val="00310FAD"/>
    <w:rsid w:val="00320786"/>
    <w:rsid w:val="00343D36"/>
    <w:rsid w:val="00375D0E"/>
    <w:rsid w:val="00377A04"/>
    <w:rsid w:val="003E6405"/>
    <w:rsid w:val="00430C15"/>
    <w:rsid w:val="00436F95"/>
    <w:rsid w:val="00445401"/>
    <w:rsid w:val="00456B31"/>
    <w:rsid w:val="00495798"/>
    <w:rsid w:val="004A323E"/>
    <w:rsid w:val="004C07F2"/>
    <w:rsid w:val="004E1594"/>
    <w:rsid w:val="00510F25"/>
    <w:rsid w:val="005117B1"/>
    <w:rsid w:val="0052444E"/>
    <w:rsid w:val="00571E42"/>
    <w:rsid w:val="00592EC1"/>
    <w:rsid w:val="005A2E5B"/>
    <w:rsid w:val="005A597B"/>
    <w:rsid w:val="005E2D82"/>
    <w:rsid w:val="005E5CF4"/>
    <w:rsid w:val="0063442C"/>
    <w:rsid w:val="00693D56"/>
    <w:rsid w:val="006D110F"/>
    <w:rsid w:val="0071127E"/>
    <w:rsid w:val="00765C27"/>
    <w:rsid w:val="00797431"/>
    <w:rsid w:val="007A17E7"/>
    <w:rsid w:val="007A1ABE"/>
    <w:rsid w:val="007A28B8"/>
    <w:rsid w:val="007A3F45"/>
    <w:rsid w:val="007E4895"/>
    <w:rsid w:val="00843A52"/>
    <w:rsid w:val="00851D8B"/>
    <w:rsid w:val="008C0BE7"/>
    <w:rsid w:val="00911796"/>
    <w:rsid w:val="00946991"/>
    <w:rsid w:val="009526A4"/>
    <w:rsid w:val="00956428"/>
    <w:rsid w:val="0097396C"/>
    <w:rsid w:val="009A12C3"/>
    <w:rsid w:val="00A0559D"/>
    <w:rsid w:val="00A059C8"/>
    <w:rsid w:val="00A25B87"/>
    <w:rsid w:val="00A93E07"/>
    <w:rsid w:val="00AA6D91"/>
    <w:rsid w:val="00AB3C4F"/>
    <w:rsid w:val="00AC5296"/>
    <w:rsid w:val="00AD5A3F"/>
    <w:rsid w:val="00B1106D"/>
    <w:rsid w:val="00B1306D"/>
    <w:rsid w:val="00B13AB7"/>
    <w:rsid w:val="00B2792D"/>
    <w:rsid w:val="00B63C20"/>
    <w:rsid w:val="00B85CB7"/>
    <w:rsid w:val="00BD73E9"/>
    <w:rsid w:val="00BE5746"/>
    <w:rsid w:val="00BE5DDA"/>
    <w:rsid w:val="00C2488D"/>
    <w:rsid w:val="00C25836"/>
    <w:rsid w:val="00C37B27"/>
    <w:rsid w:val="00CC3901"/>
    <w:rsid w:val="00CC6D59"/>
    <w:rsid w:val="00CF493A"/>
    <w:rsid w:val="00D40A0C"/>
    <w:rsid w:val="00D54E5C"/>
    <w:rsid w:val="00D97997"/>
    <w:rsid w:val="00DA26FE"/>
    <w:rsid w:val="00DD0B9A"/>
    <w:rsid w:val="00E12EB4"/>
    <w:rsid w:val="00EC71FC"/>
    <w:rsid w:val="00F54B20"/>
    <w:rsid w:val="00F94972"/>
    <w:rsid w:val="00FB6ABA"/>
    <w:rsid w:val="00FF362C"/>
    <w:rsid w:val="00FF70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B0"/>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49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2B4927"/>
    <w:pPr>
      <w:spacing w:line="241" w:lineRule="atLeast"/>
    </w:pPr>
    <w:rPr>
      <w:color w:val="auto"/>
    </w:rPr>
  </w:style>
  <w:style w:type="character" w:customStyle="1" w:styleId="A2">
    <w:name w:val="A2"/>
    <w:uiPriority w:val="99"/>
    <w:rsid w:val="002B4927"/>
    <w:rPr>
      <w:color w:val="000000"/>
      <w:sz w:val="22"/>
      <w:szCs w:val="22"/>
    </w:rPr>
  </w:style>
  <w:style w:type="paragraph" w:customStyle="1" w:styleId="Pa3">
    <w:name w:val="Pa3"/>
    <w:basedOn w:val="Default"/>
    <w:next w:val="Default"/>
    <w:uiPriority w:val="99"/>
    <w:rsid w:val="002B4927"/>
    <w:pPr>
      <w:spacing w:line="241" w:lineRule="atLeast"/>
    </w:pPr>
    <w:rPr>
      <w:color w:val="auto"/>
    </w:rPr>
  </w:style>
  <w:style w:type="paragraph" w:customStyle="1" w:styleId="Pa5">
    <w:name w:val="Pa5"/>
    <w:basedOn w:val="Default"/>
    <w:next w:val="Default"/>
    <w:uiPriority w:val="99"/>
    <w:rsid w:val="00B1106D"/>
    <w:pPr>
      <w:spacing w:line="241" w:lineRule="atLeast"/>
    </w:pPr>
    <w:rPr>
      <w:color w:val="auto"/>
    </w:rPr>
  </w:style>
  <w:style w:type="paragraph" w:styleId="ListParagraph">
    <w:name w:val="List Paragraph"/>
    <w:basedOn w:val="Normal"/>
    <w:uiPriority w:val="99"/>
    <w:qFormat/>
    <w:rsid w:val="00693D56"/>
    <w:pPr>
      <w:ind w:left="720"/>
      <w:contextualSpacing/>
    </w:pPr>
  </w:style>
  <w:style w:type="table" w:styleId="TableGrid">
    <w:name w:val="Table Grid"/>
    <w:basedOn w:val="TableNormal"/>
    <w:uiPriority w:val="59"/>
    <w:rsid w:val="00BE5746"/>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95"/>
    <w:rPr>
      <w:rFonts w:ascii="Tahoma" w:eastAsiaTheme="minorEastAsia" w:hAnsi="Tahoma" w:cs="Tahoma"/>
      <w:sz w:val="16"/>
      <w:szCs w:val="16"/>
    </w:rPr>
  </w:style>
  <w:style w:type="paragraph" w:styleId="Header">
    <w:name w:val="header"/>
    <w:basedOn w:val="Normal"/>
    <w:link w:val="HeaderChar"/>
    <w:uiPriority w:val="99"/>
    <w:unhideWhenUsed/>
    <w:rsid w:val="00094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770"/>
    <w:rPr>
      <w:rFonts w:eastAsiaTheme="minorEastAsia"/>
    </w:rPr>
  </w:style>
  <w:style w:type="paragraph" w:styleId="Footer">
    <w:name w:val="footer"/>
    <w:basedOn w:val="Normal"/>
    <w:link w:val="FooterChar"/>
    <w:uiPriority w:val="99"/>
    <w:unhideWhenUsed/>
    <w:rsid w:val="00094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770"/>
    <w:rPr>
      <w:rFonts w:eastAsiaTheme="minorEastAsia"/>
    </w:rPr>
  </w:style>
  <w:style w:type="character" w:styleId="Hyperlink">
    <w:name w:val="Hyperlink"/>
    <w:basedOn w:val="DefaultParagraphFont"/>
    <w:uiPriority w:val="99"/>
    <w:unhideWhenUsed/>
    <w:rsid w:val="001F3C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B0"/>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49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2B4927"/>
    <w:pPr>
      <w:spacing w:line="241" w:lineRule="atLeast"/>
    </w:pPr>
    <w:rPr>
      <w:color w:val="auto"/>
    </w:rPr>
  </w:style>
  <w:style w:type="character" w:customStyle="1" w:styleId="A2">
    <w:name w:val="A2"/>
    <w:uiPriority w:val="99"/>
    <w:rsid w:val="002B4927"/>
    <w:rPr>
      <w:color w:val="000000"/>
      <w:sz w:val="22"/>
      <w:szCs w:val="22"/>
    </w:rPr>
  </w:style>
  <w:style w:type="paragraph" w:customStyle="1" w:styleId="Pa3">
    <w:name w:val="Pa3"/>
    <w:basedOn w:val="Default"/>
    <w:next w:val="Default"/>
    <w:uiPriority w:val="99"/>
    <w:rsid w:val="002B4927"/>
    <w:pPr>
      <w:spacing w:line="241" w:lineRule="atLeast"/>
    </w:pPr>
    <w:rPr>
      <w:color w:val="auto"/>
    </w:rPr>
  </w:style>
  <w:style w:type="paragraph" w:customStyle="1" w:styleId="Pa5">
    <w:name w:val="Pa5"/>
    <w:basedOn w:val="Default"/>
    <w:next w:val="Default"/>
    <w:uiPriority w:val="99"/>
    <w:rsid w:val="00B1106D"/>
    <w:pPr>
      <w:spacing w:line="241" w:lineRule="atLeast"/>
    </w:pPr>
    <w:rPr>
      <w:color w:val="auto"/>
    </w:rPr>
  </w:style>
  <w:style w:type="paragraph" w:styleId="ListParagraph">
    <w:name w:val="List Paragraph"/>
    <w:basedOn w:val="Normal"/>
    <w:uiPriority w:val="99"/>
    <w:qFormat/>
    <w:rsid w:val="00693D56"/>
    <w:pPr>
      <w:ind w:left="720"/>
      <w:contextualSpacing/>
    </w:pPr>
  </w:style>
  <w:style w:type="table" w:styleId="TableGrid">
    <w:name w:val="Table Grid"/>
    <w:basedOn w:val="TableNormal"/>
    <w:uiPriority w:val="59"/>
    <w:rsid w:val="00BE5746"/>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95"/>
    <w:rPr>
      <w:rFonts w:ascii="Tahoma" w:eastAsiaTheme="minorEastAsia" w:hAnsi="Tahoma" w:cs="Tahoma"/>
      <w:sz w:val="16"/>
      <w:szCs w:val="16"/>
    </w:rPr>
  </w:style>
  <w:style w:type="paragraph" w:styleId="Header">
    <w:name w:val="header"/>
    <w:basedOn w:val="Normal"/>
    <w:link w:val="HeaderChar"/>
    <w:uiPriority w:val="99"/>
    <w:unhideWhenUsed/>
    <w:rsid w:val="00094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770"/>
    <w:rPr>
      <w:rFonts w:eastAsiaTheme="minorEastAsia"/>
    </w:rPr>
  </w:style>
  <w:style w:type="paragraph" w:styleId="Footer">
    <w:name w:val="footer"/>
    <w:basedOn w:val="Normal"/>
    <w:link w:val="FooterChar"/>
    <w:uiPriority w:val="99"/>
    <w:unhideWhenUsed/>
    <w:rsid w:val="00094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770"/>
    <w:rPr>
      <w:rFonts w:eastAsiaTheme="minorEastAsia"/>
    </w:rPr>
  </w:style>
  <w:style w:type="character" w:styleId="Hyperlink">
    <w:name w:val="Hyperlink"/>
    <w:basedOn w:val="DefaultParagraphFont"/>
    <w:uiPriority w:val="99"/>
    <w:unhideWhenUsed/>
    <w:rsid w:val="001F3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hart" Target="charts/chart8.xml"/><Relationship Id="rId10" Type="http://schemas.openxmlformats.org/officeDocument/2006/relationships/chart" Target="charts/chart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yperlink" Target="mailto:a.qataee@qiyas.org" TargetMode="External"/><Relationship Id="rId14" Type="http://schemas.openxmlformats.org/officeDocument/2006/relationships/footer" Target="footer1.xml"/><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qataee\Desktop\research%20&amp;%20data%20files\IAEA%20FILE\AL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qataee\Desktop\research%20&amp;%20data%20files\IAEA%20FILE\AL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qataee\Desktop\research%20&amp;%20data%20files\IAEA%20FILE\AL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qataee\Desktop\research%20&amp;%20data%20files\IAEA%20FILE\AL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qataee\Desktop\research%20&amp;%20data%20files\IAEA%20FILE\ALL.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qataee\Desktop\research%20&amp;%20data%20files\IAEA%20FILE\ALL.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qataee\Desktop\research%20&amp;%20data%20files\IAEA%20FILE\AL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qataee\Desktop\research%20&amp;%20data%20files\IAEA%20FILE\AL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qataee\Desktop\research%20&amp;%20data%20files\IAEA%20FILE\AL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qataee\Desktop\research%20&amp;%20data%20files\IAEA%20FILE\A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barChart>
        <c:barDir val="col"/>
        <c:grouping val="clustered"/>
        <c:varyColors val="0"/>
        <c:ser>
          <c:idx val="0"/>
          <c:order val="0"/>
          <c:tx>
            <c:strRef>
              <c:f>Sheet4!$C$5</c:f>
              <c:strCache>
                <c:ptCount val="1"/>
                <c:pt idx="0">
                  <c:v>CORR</c:v>
                </c:pt>
              </c:strCache>
            </c:strRef>
          </c:tx>
          <c:invertIfNegative val="0"/>
          <c:cat>
            <c:strRef>
              <c:f>Sheet4!$D$4:$J$4</c:f>
              <c:strCache>
                <c:ptCount val="7"/>
                <c:pt idx="0">
                  <c:v>HSGPA</c:v>
                </c:pt>
                <c:pt idx="1">
                  <c:v>FYGPA</c:v>
                </c:pt>
                <c:pt idx="2">
                  <c:v>SAAT</c:v>
                </c:pt>
                <c:pt idx="3">
                  <c:v>POSTGAT</c:v>
                </c:pt>
                <c:pt idx="4">
                  <c:v>TCE</c:v>
                </c:pt>
                <c:pt idx="5">
                  <c:v>SAT-M</c:v>
                </c:pt>
                <c:pt idx="6">
                  <c:v>SAT-CR</c:v>
                </c:pt>
              </c:strCache>
            </c:strRef>
          </c:cat>
          <c:val>
            <c:numRef>
              <c:f>Sheet4!$D$5:$J$5</c:f>
              <c:numCache>
                <c:formatCode>General</c:formatCode>
                <c:ptCount val="7"/>
                <c:pt idx="0">
                  <c:v>0.56000000000000005</c:v>
                </c:pt>
                <c:pt idx="1">
                  <c:v>0.51</c:v>
                </c:pt>
                <c:pt idx="2">
                  <c:v>0.68</c:v>
                </c:pt>
                <c:pt idx="3">
                  <c:v>0.72</c:v>
                </c:pt>
                <c:pt idx="4">
                  <c:v>0.57999999999999996</c:v>
                </c:pt>
                <c:pt idx="5">
                  <c:v>0.7</c:v>
                </c:pt>
                <c:pt idx="6">
                  <c:v>0.33</c:v>
                </c:pt>
              </c:numCache>
            </c:numRef>
          </c:val>
        </c:ser>
        <c:dLbls>
          <c:dLblPos val="outEnd"/>
          <c:showLegendKey val="0"/>
          <c:showVal val="1"/>
          <c:showCatName val="0"/>
          <c:showSerName val="0"/>
          <c:showPercent val="0"/>
          <c:showBubbleSize val="0"/>
        </c:dLbls>
        <c:gapWidth val="150"/>
        <c:axId val="106822656"/>
        <c:axId val="114806784"/>
      </c:barChart>
      <c:catAx>
        <c:axId val="106822656"/>
        <c:scaling>
          <c:orientation val="minMax"/>
        </c:scaling>
        <c:delete val="0"/>
        <c:axPos val="b"/>
        <c:title>
          <c:tx>
            <c:rich>
              <a:bodyPr/>
              <a:lstStyle/>
              <a:p>
                <a:pPr>
                  <a:defRPr/>
                </a:pPr>
                <a:r>
                  <a:rPr lang="en-US"/>
                  <a:t>CRITERION</a:t>
                </a:r>
              </a:p>
            </c:rich>
          </c:tx>
          <c:overlay val="0"/>
        </c:title>
        <c:majorTickMark val="out"/>
        <c:minorTickMark val="none"/>
        <c:tickLblPos val="nextTo"/>
        <c:crossAx val="114806784"/>
        <c:crosses val="autoZero"/>
        <c:auto val="1"/>
        <c:lblAlgn val="ctr"/>
        <c:lblOffset val="100"/>
        <c:noMultiLvlLbl val="0"/>
      </c:catAx>
      <c:valAx>
        <c:axId val="114806784"/>
        <c:scaling>
          <c:orientation val="minMax"/>
        </c:scaling>
        <c:delete val="0"/>
        <c:axPos val="l"/>
        <c:majorGridlines/>
        <c:title>
          <c:tx>
            <c:rich>
              <a:bodyPr rot="0" vert="wordArtVert"/>
              <a:lstStyle/>
              <a:p>
                <a:pPr>
                  <a:defRPr/>
                </a:pPr>
                <a:r>
                  <a:rPr lang="en-US"/>
                  <a:t>CORR</a:t>
                </a:r>
              </a:p>
            </c:rich>
          </c:tx>
          <c:overlay val="0"/>
        </c:title>
        <c:numFmt formatCode="General" sourceLinked="1"/>
        <c:majorTickMark val="out"/>
        <c:minorTickMark val="none"/>
        <c:tickLblPos val="nextTo"/>
        <c:crossAx val="10682265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1"/>
          <c:order val="1"/>
          <c:tx>
            <c:strRef>
              <c:f>Sheet2!$AE$2</c:f>
              <c:strCache>
                <c:ptCount val="1"/>
                <c:pt idx="0">
                  <c:v>GAT</c:v>
                </c:pt>
              </c:strCache>
            </c:strRef>
          </c:tx>
          <c:invertIfNegative val="0"/>
          <c:cat>
            <c:numRef>
              <c:f>Sheet2!$A$3:$A$27</c:f>
              <c:numCache>
                <c:formatCode>General</c:formatCode>
                <c:ptCount val="25"/>
                <c:pt idx="0">
                  <c:v>95.2</c:v>
                </c:pt>
                <c:pt idx="1">
                  <c:v>95.4</c:v>
                </c:pt>
                <c:pt idx="2">
                  <c:v>95.6</c:v>
                </c:pt>
                <c:pt idx="3">
                  <c:v>95.8</c:v>
                </c:pt>
                <c:pt idx="4">
                  <c:v>96</c:v>
                </c:pt>
                <c:pt idx="5">
                  <c:v>96.2</c:v>
                </c:pt>
                <c:pt idx="6">
                  <c:v>96.4</c:v>
                </c:pt>
                <c:pt idx="7">
                  <c:v>96.6</c:v>
                </c:pt>
                <c:pt idx="8">
                  <c:v>96.8</c:v>
                </c:pt>
                <c:pt idx="9">
                  <c:v>97</c:v>
                </c:pt>
                <c:pt idx="10">
                  <c:v>97.2</c:v>
                </c:pt>
                <c:pt idx="11">
                  <c:v>97.4</c:v>
                </c:pt>
                <c:pt idx="12">
                  <c:v>97.6</c:v>
                </c:pt>
                <c:pt idx="13">
                  <c:v>97.8</c:v>
                </c:pt>
                <c:pt idx="14">
                  <c:v>98</c:v>
                </c:pt>
                <c:pt idx="15">
                  <c:v>98.2</c:v>
                </c:pt>
                <c:pt idx="16">
                  <c:v>98.4</c:v>
                </c:pt>
                <c:pt idx="17">
                  <c:v>98.600000000000094</c:v>
                </c:pt>
                <c:pt idx="18">
                  <c:v>98.800000000000097</c:v>
                </c:pt>
                <c:pt idx="19">
                  <c:v>99.000000000000099</c:v>
                </c:pt>
                <c:pt idx="20">
                  <c:v>99.200000000000102</c:v>
                </c:pt>
                <c:pt idx="21">
                  <c:v>99.400000000000105</c:v>
                </c:pt>
                <c:pt idx="22">
                  <c:v>99.600000000000094</c:v>
                </c:pt>
                <c:pt idx="23">
                  <c:v>99.800000000000097</c:v>
                </c:pt>
                <c:pt idx="24">
                  <c:v>100</c:v>
                </c:pt>
              </c:numCache>
            </c:numRef>
          </c:cat>
          <c:val>
            <c:numRef>
              <c:f>Sheet2!$AE$3:$AE$27</c:f>
              <c:numCache>
                <c:formatCode>General</c:formatCode>
                <c:ptCount val="25"/>
                <c:pt idx="0">
                  <c:v>73.646969696969691</c:v>
                </c:pt>
                <c:pt idx="1">
                  <c:v>74.088732394366204</c:v>
                </c:pt>
                <c:pt idx="2">
                  <c:v>72.151685393258433</c:v>
                </c:pt>
                <c:pt idx="3">
                  <c:v>72.5</c:v>
                </c:pt>
                <c:pt idx="4">
                  <c:v>73.667948717948718</c:v>
                </c:pt>
                <c:pt idx="5">
                  <c:v>74.962962962962962</c:v>
                </c:pt>
                <c:pt idx="6">
                  <c:v>73.933333333333323</c:v>
                </c:pt>
                <c:pt idx="7">
                  <c:v>71.038961038961034</c:v>
                </c:pt>
                <c:pt idx="8">
                  <c:v>74.162765957446808</c:v>
                </c:pt>
                <c:pt idx="9">
                  <c:v>76.107894736842098</c:v>
                </c:pt>
                <c:pt idx="10">
                  <c:v>75.287378640776694</c:v>
                </c:pt>
                <c:pt idx="11">
                  <c:v>73.793750000000003</c:v>
                </c:pt>
                <c:pt idx="12">
                  <c:v>75.708163265306126</c:v>
                </c:pt>
                <c:pt idx="13">
                  <c:v>74.472499999999997</c:v>
                </c:pt>
                <c:pt idx="14">
                  <c:v>75.544303797468359</c:v>
                </c:pt>
                <c:pt idx="15">
                  <c:v>74.988764044943821</c:v>
                </c:pt>
                <c:pt idx="16">
                  <c:v>76.488</c:v>
                </c:pt>
                <c:pt idx="17">
                  <c:v>77.352808988764053</c:v>
                </c:pt>
                <c:pt idx="18">
                  <c:v>76.287142857142868</c:v>
                </c:pt>
                <c:pt idx="19">
                  <c:v>78.468000000000004</c:v>
                </c:pt>
                <c:pt idx="20">
                  <c:v>79</c:v>
                </c:pt>
                <c:pt idx="21">
                  <c:v>78.924038461538444</c:v>
                </c:pt>
                <c:pt idx="22">
                  <c:v>78.429487179487197</c:v>
                </c:pt>
                <c:pt idx="23">
                  <c:v>78.743902439024396</c:v>
                </c:pt>
                <c:pt idx="24">
                  <c:v>80.166666666666671</c:v>
                </c:pt>
              </c:numCache>
            </c:numRef>
          </c:val>
        </c:ser>
        <c:dLbls>
          <c:showLegendKey val="0"/>
          <c:showVal val="0"/>
          <c:showCatName val="0"/>
          <c:showSerName val="0"/>
          <c:showPercent val="0"/>
          <c:showBubbleSize val="0"/>
        </c:dLbls>
        <c:gapWidth val="150"/>
        <c:axId val="224193152"/>
        <c:axId val="224199808"/>
      </c:barChart>
      <c:lineChart>
        <c:grouping val="standard"/>
        <c:varyColors val="0"/>
        <c:ser>
          <c:idx val="0"/>
          <c:order val="0"/>
          <c:tx>
            <c:strRef>
              <c:f>Sheet2!$AD$2</c:f>
              <c:strCache>
                <c:ptCount val="1"/>
                <c:pt idx="0">
                  <c:v>FYGPA</c:v>
                </c:pt>
              </c:strCache>
            </c:strRef>
          </c:tx>
          <c:spPr>
            <a:ln w="19050"/>
          </c:spPr>
          <c:marker>
            <c:symbol val="circle"/>
            <c:size val="5"/>
            <c:spPr>
              <a:solidFill>
                <a:srgbClr val="1F497D">
                  <a:lumMod val="60000"/>
                  <a:lumOff val="40000"/>
                </a:srgbClr>
              </a:solidFill>
              <a:ln w="19050"/>
            </c:spPr>
          </c:marker>
          <c:cat>
            <c:numRef>
              <c:f>Sheet2!$A$3:$A$27</c:f>
              <c:numCache>
                <c:formatCode>General</c:formatCode>
                <c:ptCount val="25"/>
                <c:pt idx="0">
                  <c:v>95.2</c:v>
                </c:pt>
                <c:pt idx="1">
                  <c:v>95.4</c:v>
                </c:pt>
                <c:pt idx="2">
                  <c:v>95.6</c:v>
                </c:pt>
                <c:pt idx="3">
                  <c:v>95.8</c:v>
                </c:pt>
                <c:pt idx="4">
                  <c:v>96</c:v>
                </c:pt>
                <c:pt idx="5">
                  <c:v>96.2</c:v>
                </c:pt>
                <c:pt idx="6">
                  <c:v>96.4</c:v>
                </c:pt>
                <c:pt idx="7">
                  <c:v>96.6</c:v>
                </c:pt>
                <c:pt idx="8">
                  <c:v>96.8</c:v>
                </c:pt>
                <c:pt idx="9">
                  <c:v>97</c:v>
                </c:pt>
                <c:pt idx="10">
                  <c:v>97.2</c:v>
                </c:pt>
                <c:pt idx="11">
                  <c:v>97.4</c:v>
                </c:pt>
                <c:pt idx="12">
                  <c:v>97.6</c:v>
                </c:pt>
                <c:pt idx="13">
                  <c:v>97.8</c:v>
                </c:pt>
                <c:pt idx="14">
                  <c:v>98</c:v>
                </c:pt>
                <c:pt idx="15">
                  <c:v>98.2</c:v>
                </c:pt>
                <c:pt idx="16">
                  <c:v>98.4</c:v>
                </c:pt>
                <c:pt idx="17">
                  <c:v>98.600000000000094</c:v>
                </c:pt>
                <c:pt idx="18">
                  <c:v>98.800000000000097</c:v>
                </c:pt>
                <c:pt idx="19">
                  <c:v>99.000000000000099</c:v>
                </c:pt>
                <c:pt idx="20">
                  <c:v>99.200000000000102</c:v>
                </c:pt>
                <c:pt idx="21">
                  <c:v>99.400000000000105</c:v>
                </c:pt>
                <c:pt idx="22">
                  <c:v>99.600000000000094</c:v>
                </c:pt>
                <c:pt idx="23">
                  <c:v>99.800000000000097</c:v>
                </c:pt>
                <c:pt idx="24">
                  <c:v>100</c:v>
                </c:pt>
              </c:numCache>
            </c:numRef>
          </c:cat>
          <c:val>
            <c:numRef>
              <c:f>Sheet2!$AD$3:$AD$27</c:f>
              <c:numCache>
                <c:formatCode>General</c:formatCode>
                <c:ptCount val="25"/>
                <c:pt idx="0">
                  <c:v>3.5768181818181812</c:v>
                </c:pt>
                <c:pt idx="1">
                  <c:v>3.7791549295774653</c:v>
                </c:pt>
                <c:pt idx="2">
                  <c:v>3.7067415730337081</c:v>
                </c:pt>
                <c:pt idx="3">
                  <c:v>3.7606666666666668</c:v>
                </c:pt>
                <c:pt idx="4">
                  <c:v>3.7024358974358971</c:v>
                </c:pt>
                <c:pt idx="5">
                  <c:v>3.7195061728395067</c:v>
                </c:pt>
                <c:pt idx="6">
                  <c:v>3.765000000000001</c:v>
                </c:pt>
                <c:pt idx="7">
                  <c:v>3.8718181818181816</c:v>
                </c:pt>
                <c:pt idx="8">
                  <c:v>3.935806451612903</c:v>
                </c:pt>
                <c:pt idx="9">
                  <c:v>3.8328947368421047</c:v>
                </c:pt>
                <c:pt idx="10">
                  <c:v>3.9554901960784323</c:v>
                </c:pt>
                <c:pt idx="11">
                  <c:v>3.8628750000000016</c:v>
                </c:pt>
                <c:pt idx="12">
                  <c:v>4.0036734693877571</c:v>
                </c:pt>
                <c:pt idx="13">
                  <c:v>3.857974683544303</c:v>
                </c:pt>
                <c:pt idx="14">
                  <c:v>3.93620253164557</c:v>
                </c:pt>
                <c:pt idx="15">
                  <c:v>3.9443820224719088</c:v>
                </c:pt>
                <c:pt idx="16">
                  <c:v>4.0583999999999989</c:v>
                </c:pt>
                <c:pt idx="17">
                  <c:v>4.0942696629213469</c:v>
                </c:pt>
                <c:pt idx="18">
                  <c:v>4.162028985507245</c:v>
                </c:pt>
                <c:pt idx="19">
                  <c:v>4.1686666666666667</c:v>
                </c:pt>
                <c:pt idx="20">
                  <c:v>4.1620000000000008</c:v>
                </c:pt>
                <c:pt idx="21">
                  <c:v>4.2627884615384621</c:v>
                </c:pt>
                <c:pt idx="22">
                  <c:v>4.3369230769230755</c:v>
                </c:pt>
                <c:pt idx="23">
                  <c:v>4.3467073170731698</c:v>
                </c:pt>
                <c:pt idx="24">
                  <c:v>4.591222222222223</c:v>
                </c:pt>
              </c:numCache>
            </c:numRef>
          </c:val>
          <c:smooth val="0"/>
        </c:ser>
        <c:dLbls>
          <c:showLegendKey val="0"/>
          <c:showVal val="0"/>
          <c:showCatName val="0"/>
          <c:showSerName val="0"/>
          <c:showPercent val="0"/>
          <c:showBubbleSize val="0"/>
        </c:dLbls>
        <c:marker val="1"/>
        <c:smooth val="0"/>
        <c:axId val="224203904"/>
        <c:axId val="224201728"/>
      </c:lineChart>
      <c:catAx>
        <c:axId val="224193152"/>
        <c:scaling>
          <c:orientation val="minMax"/>
        </c:scaling>
        <c:delete val="0"/>
        <c:axPos val="b"/>
        <c:title>
          <c:tx>
            <c:rich>
              <a:bodyPr/>
              <a:lstStyle/>
              <a:p>
                <a:pPr>
                  <a:defRPr/>
                </a:pPr>
                <a:r>
                  <a:rPr lang="en-US"/>
                  <a:t>HSGPA</a:t>
                </a:r>
              </a:p>
            </c:rich>
          </c:tx>
          <c:overlay val="0"/>
        </c:title>
        <c:numFmt formatCode="#,##0.0" sourceLinked="0"/>
        <c:majorTickMark val="out"/>
        <c:minorTickMark val="none"/>
        <c:tickLblPos val="nextTo"/>
        <c:txPr>
          <a:bodyPr/>
          <a:lstStyle/>
          <a:p>
            <a:pPr>
              <a:defRPr>
                <a:ln>
                  <a:solidFill>
                    <a:sysClr val="windowText" lastClr="000000"/>
                  </a:solidFill>
                </a:ln>
              </a:defRPr>
            </a:pPr>
            <a:endParaRPr lang="ar-SA"/>
          </a:p>
        </c:txPr>
        <c:crossAx val="224199808"/>
        <c:crosses val="autoZero"/>
        <c:auto val="1"/>
        <c:lblAlgn val="ctr"/>
        <c:lblOffset val="100"/>
        <c:noMultiLvlLbl val="0"/>
      </c:catAx>
      <c:valAx>
        <c:axId val="224199808"/>
        <c:scaling>
          <c:orientation val="minMax"/>
          <c:max val="83"/>
          <c:min val="70"/>
        </c:scaling>
        <c:delete val="0"/>
        <c:axPos val="l"/>
        <c:title>
          <c:tx>
            <c:rich>
              <a:bodyPr rot="0" vert="wordArtVert"/>
              <a:lstStyle/>
              <a:p>
                <a:pPr>
                  <a:defRPr/>
                </a:pPr>
                <a:r>
                  <a:rPr lang="en-US"/>
                  <a:t>GAT</a:t>
                </a:r>
              </a:p>
            </c:rich>
          </c:tx>
          <c:overlay val="0"/>
        </c:title>
        <c:numFmt formatCode="General" sourceLinked="1"/>
        <c:majorTickMark val="out"/>
        <c:minorTickMark val="none"/>
        <c:tickLblPos val="nextTo"/>
        <c:txPr>
          <a:bodyPr/>
          <a:lstStyle/>
          <a:p>
            <a:pPr>
              <a:defRPr>
                <a:ln>
                  <a:solidFill>
                    <a:srgbClr val="C00000"/>
                  </a:solidFill>
                </a:ln>
              </a:defRPr>
            </a:pPr>
            <a:endParaRPr lang="ar-SA"/>
          </a:p>
        </c:txPr>
        <c:crossAx val="224193152"/>
        <c:crosses val="autoZero"/>
        <c:crossBetween val="between"/>
      </c:valAx>
      <c:valAx>
        <c:axId val="224201728"/>
        <c:scaling>
          <c:orientation val="minMax"/>
          <c:min val="3.5"/>
        </c:scaling>
        <c:delete val="0"/>
        <c:axPos val="r"/>
        <c:title>
          <c:tx>
            <c:rich>
              <a:bodyPr rot="0" vert="wordArtVert"/>
              <a:lstStyle/>
              <a:p>
                <a:pPr>
                  <a:defRPr/>
                </a:pPr>
                <a:r>
                  <a:rPr lang="en-US"/>
                  <a:t>FYGPA</a:t>
                </a:r>
              </a:p>
            </c:rich>
          </c:tx>
          <c:overlay val="0"/>
        </c:title>
        <c:numFmt formatCode="General" sourceLinked="1"/>
        <c:majorTickMark val="out"/>
        <c:minorTickMark val="none"/>
        <c:tickLblPos val="nextTo"/>
        <c:txPr>
          <a:bodyPr/>
          <a:lstStyle/>
          <a:p>
            <a:pPr>
              <a:defRPr>
                <a:ln>
                  <a:solidFill>
                    <a:schemeClr val="tx2">
                      <a:lumMod val="60000"/>
                      <a:lumOff val="40000"/>
                    </a:schemeClr>
                  </a:solidFill>
                </a:ln>
              </a:defRPr>
            </a:pPr>
            <a:endParaRPr lang="ar-SA"/>
          </a:p>
        </c:txPr>
        <c:crossAx val="224203904"/>
        <c:crosses val="max"/>
        <c:crossBetween val="between"/>
      </c:valAx>
      <c:catAx>
        <c:axId val="224203904"/>
        <c:scaling>
          <c:orientation val="minMax"/>
        </c:scaling>
        <c:delete val="1"/>
        <c:axPos val="b"/>
        <c:numFmt formatCode="General" sourceLinked="1"/>
        <c:majorTickMark val="out"/>
        <c:minorTickMark val="none"/>
        <c:tickLblPos val="none"/>
        <c:crossAx val="224201728"/>
        <c:crosses val="autoZero"/>
        <c:auto val="1"/>
        <c:lblAlgn val="ctr"/>
        <c:lblOffset val="100"/>
        <c:noMultiLvlLbl val="0"/>
      </c:catAx>
    </c:plotArea>
    <c:legend>
      <c:legendPos val="b"/>
      <c:overlay val="0"/>
      <c:txPr>
        <a:bodyPr/>
        <a:lstStyle/>
        <a:p>
          <a:pPr>
            <a:defRPr>
              <a:ln>
                <a:solidFill>
                  <a:sysClr val="windowText" lastClr="000000"/>
                </a:solidFill>
              </a:ln>
            </a:defRPr>
          </a:pPr>
          <a:endParaRPr lang="ar-SA"/>
        </a:p>
      </c:txPr>
    </c:legend>
    <c:plotVisOnly val="1"/>
    <c:dispBlanksAs val="gap"/>
    <c:showDLblsOverMax val="0"/>
  </c:chart>
  <c:spPr>
    <a:ln w="25400">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8.3922367363039166E-2"/>
          <c:y val="4.0464879259612375E-2"/>
          <c:w val="0.83975379651850846"/>
          <c:h val="0.74728315618511143"/>
        </c:manualLayout>
      </c:layout>
      <c:barChart>
        <c:barDir val="col"/>
        <c:grouping val="clustered"/>
        <c:varyColors val="0"/>
        <c:ser>
          <c:idx val="0"/>
          <c:order val="0"/>
          <c:tx>
            <c:strRef>
              <c:f>[ALL.xlsx]Sheet3!$B$2</c:f>
              <c:strCache>
                <c:ptCount val="1"/>
                <c:pt idx="0">
                  <c:v>GAT</c:v>
                </c:pt>
              </c:strCache>
            </c:strRef>
          </c:tx>
          <c:invertIfNegative val="0"/>
          <c:dLbls>
            <c:dLbl>
              <c:idx val="4"/>
              <c:layout>
                <c:manualLayout>
                  <c:x val="-3.5264483627204031E-2"/>
                  <c:y val="-3.481288076588338E-3"/>
                </c:manualLayout>
              </c:layout>
              <c:dLblPos val="outEnd"/>
              <c:showLegendKey val="0"/>
              <c:showVal val="1"/>
              <c:showCatName val="0"/>
              <c:showSerName val="0"/>
              <c:showPercent val="0"/>
              <c:showBubbleSize val="0"/>
            </c:dLbl>
            <c:numFmt formatCode="#,##0.00" sourceLinked="0"/>
            <c:txPr>
              <a:bodyPr rot="0" vert="horz" anchor="ctr" anchorCtr="0"/>
              <a:lstStyle/>
              <a:p>
                <a:pPr>
                  <a:defRPr>
                    <a:ln>
                      <a:solidFill>
                        <a:schemeClr val="tx2">
                          <a:lumMod val="60000"/>
                          <a:lumOff val="40000"/>
                        </a:schemeClr>
                      </a:solidFill>
                    </a:ln>
                  </a:defRPr>
                </a:pPr>
                <a:endParaRPr lang="ar-SA"/>
              </a:p>
            </c:txPr>
            <c:dLblPos val="outEnd"/>
            <c:showLegendKey val="0"/>
            <c:showVal val="1"/>
            <c:showCatName val="0"/>
            <c:showSerName val="0"/>
            <c:showPercent val="0"/>
            <c:showBubbleSize val="0"/>
            <c:showLeaderLines val="0"/>
          </c:dLbls>
          <c:cat>
            <c:strRef>
              <c:f>[ALL.xlsx]Sheet3!$A$3:$A$9</c:f>
              <c:strCache>
                <c:ptCount val="7"/>
                <c:pt idx="0">
                  <c:v>IU</c:v>
                </c:pt>
                <c:pt idx="1">
                  <c:v>KAU</c:v>
                </c:pt>
                <c:pt idx="2">
                  <c:v>KFUPM</c:v>
                </c:pt>
                <c:pt idx="3">
                  <c:v>KKU</c:v>
                </c:pt>
                <c:pt idx="4">
                  <c:v>KSU</c:v>
                </c:pt>
                <c:pt idx="5">
                  <c:v>TU</c:v>
                </c:pt>
                <c:pt idx="6">
                  <c:v>UQU</c:v>
                </c:pt>
              </c:strCache>
            </c:strRef>
          </c:cat>
          <c:val>
            <c:numRef>
              <c:f>[ALL.xlsx]Sheet3!$B$3:$B$9</c:f>
              <c:numCache>
                <c:formatCode>General</c:formatCode>
                <c:ptCount val="7"/>
                <c:pt idx="0">
                  <c:v>66.789543457031257</c:v>
                </c:pt>
                <c:pt idx="1">
                  <c:v>75.845136447346391</c:v>
                </c:pt>
                <c:pt idx="2">
                  <c:v>86.006030701754383</c:v>
                </c:pt>
                <c:pt idx="3">
                  <c:v>70.763328998699606</c:v>
                </c:pt>
                <c:pt idx="4">
                  <c:v>74.46810533384496</c:v>
                </c:pt>
                <c:pt idx="5">
                  <c:v>78.798387909319899</c:v>
                </c:pt>
                <c:pt idx="6">
                  <c:v>69.314558262400851</c:v>
                </c:pt>
              </c:numCache>
            </c:numRef>
          </c:val>
        </c:ser>
        <c:ser>
          <c:idx val="1"/>
          <c:order val="1"/>
          <c:tx>
            <c:strRef>
              <c:f>[ALL.xlsx]Sheet3!$C$2</c:f>
              <c:strCache>
                <c:ptCount val="1"/>
                <c:pt idx="0">
                  <c:v>HSGPA</c:v>
                </c:pt>
              </c:strCache>
            </c:strRef>
          </c:tx>
          <c:invertIfNegative val="0"/>
          <c:dLbls>
            <c:numFmt formatCode="#,##0.00" sourceLinked="0"/>
            <c:txPr>
              <a:bodyPr/>
              <a:lstStyle/>
              <a:p>
                <a:pPr>
                  <a:defRPr>
                    <a:ln>
                      <a:solidFill>
                        <a:srgbClr val="C00000"/>
                      </a:solidFill>
                    </a:ln>
                  </a:defRPr>
                </a:pPr>
                <a:endParaRPr lang="ar-SA"/>
              </a:p>
            </c:txPr>
            <c:showLegendKey val="0"/>
            <c:showVal val="1"/>
            <c:showCatName val="0"/>
            <c:showSerName val="0"/>
            <c:showPercent val="0"/>
            <c:showBubbleSize val="0"/>
            <c:showLeaderLines val="0"/>
          </c:dLbls>
          <c:cat>
            <c:strRef>
              <c:f>[ALL.xlsx]Sheet3!$A$3:$A$9</c:f>
              <c:strCache>
                <c:ptCount val="7"/>
                <c:pt idx="0">
                  <c:v>IU</c:v>
                </c:pt>
                <c:pt idx="1">
                  <c:v>KAU</c:v>
                </c:pt>
                <c:pt idx="2">
                  <c:v>KFUPM</c:v>
                </c:pt>
                <c:pt idx="3">
                  <c:v>KKU</c:v>
                </c:pt>
                <c:pt idx="4">
                  <c:v>KSU</c:v>
                </c:pt>
                <c:pt idx="5">
                  <c:v>TU</c:v>
                </c:pt>
                <c:pt idx="6">
                  <c:v>UQU</c:v>
                </c:pt>
              </c:strCache>
            </c:strRef>
          </c:cat>
          <c:val>
            <c:numRef>
              <c:f>[ALL.xlsx]Sheet3!$C$3:$C$9</c:f>
              <c:numCache>
                <c:formatCode>General</c:formatCode>
                <c:ptCount val="7"/>
                <c:pt idx="0">
                  <c:v>80.532978515625302</c:v>
                </c:pt>
                <c:pt idx="1">
                  <c:v>91.276395025364081</c:v>
                </c:pt>
                <c:pt idx="2">
                  <c:v>96.734699945444703</c:v>
                </c:pt>
                <c:pt idx="3">
                  <c:v>92.229426048071474</c:v>
                </c:pt>
                <c:pt idx="4">
                  <c:v>92.908241787829681</c:v>
                </c:pt>
                <c:pt idx="5">
                  <c:v>96.546828358208927</c:v>
                </c:pt>
                <c:pt idx="6">
                  <c:v>85.37349710173855</c:v>
                </c:pt>
              </c:numCache>
            </c:numRef>
          </c:val>
        </c:ser>
        <c:dLbls>
          <c:showLegendKey val="0"/>
          <c:showVal val="0"/>
          <c:showCatName val="0"/>
          <c:showSerName val="0"/>
          <c:showPercent val="0"/>
          <c:showBubbleSize val="0"/>
        </c:dLbls>
        <c:gapWidth val="365"/>
        <c:axId val="99198848"/>
        <c:axId val="107261952"/>
      </c:barChart>
      <c:lineChart>
        <c:grouping val="standard"/>
        <c:varyColors val="0"/>
        <c:ser>
          <c:idx val="2"/>
          <c:order val="2"/>
          <c:tx>
            <c:strRef>
              <c:f>[ALL.xlsx]Sheet3!$D$2</c:f>
              <c:strCache>
                <c:ptCount val="1"/>
                <c:pt idx="0">
                  <c:v>FYGPA</c:v>
                </c:pt>
              </c:strCache>
            </c:strRef>
          </c:tx>
          <c:spPr>
            <a:ln w="19050">
              <a:solidFill>
                <a:schemeClr val="accent3">
                  <a:lumMod val="50000"/>
                </a:schemeClr>
              </a:solidFill>
            </a:ln>
          </c:spPr>
          <c:marker>
            <c:symbol val="circle"/>
            <c:size val="5"/>
            <c:spPr>
              <a:solidFill>
                <a:schemeClr val="accent3">
                  <a:lumMod val="50000"/>
                </a:schemeClr>
              </a:solidFill>
              <a:ln w="19050">
                <a:solidFill>
                  <a:schemeClr val="accent3">
                    <a:lumMod val="50000"/>
                  </a:schemeClr>
                </a:solidFill>
              </a:ln>
            </c:spPr>
          </c:marker>
          <c:dLbls>
            <c:dLbl>
              <c:idx val="4"/>
              <c:layout>
                <c:manualLayout>
                  <c:x val="8.3963056255247723E-3"/>
                  <c:y val="-1.0443864229764984E-2"/>
                </c:manualLayout>
              </c:layout>
              <c:showLegendKey val="0"/>
              <c:showVal val="1"/>
              <c:showCatName val="0"/>
              <c:showSerName val="0"/>
              <c:showPercent val="0"/>
              <c:showBubbleSize val="0"/>
            </c:dLbl>
            <c:numFmt formatCode="#,##0.00" sourceLinked="0"/>
            <c:txPr>
              <a:bodyPr/>
              <a:lstStyle/>
              <a:p>
                <a:pPr>
                  <a:defRPr>
                    <a:ln>
                      <a:solidFill>
                        <a:schemeClr val="accent3">
                          <a:lumMod val="50000"/>
                        </a:schemeClr>
                      </a:solidFill>
                    </a:ln>
                  </a:defRPr>
                </a:pPr>
                <a:endParaRPr lang="ar-SA"/>
              </a:p>
            </c:txPr>
            <c:showLegendKey val="0"/>
            <c:showVal val="1"/>
            <c:showCatName val="0"/>
            <c:showSerName val="0"/>
            <c:showPercent val="0"/>
            <c:showBubbleSize val="0"/>
            <c:showLeaderLines val="0"/>
          </c:dLbls>
          <c:cat>
            <c:strRef>
              <c:f>[ALL.xlsx]Sheet3!$A$3:$A$9</c:f>
              <c:strCache>
                <c:ptCount val="7"/>
                <c:pt idx="0">
                  <c:v>IU</c:v>
                </c:pt>
                <c:pt idx="1">
                  <c:v>KAU</c:v>
                </c:pt>
                <c:pt idx="2">
                  <c:v>KFUPM</c:v>
                </c:pt>
                <c:pt idx="3">
                  <c:v>KKU</c:v>
                </c:pt>
                <c:pt idx="4">
                  <c:v>KSU</c:v>
                </c:pt>
                <c:pt idx="5">
                  <c:v>TU</c:v>
                </c:pt>
                <c:pt idx="6">
                  <c:v>UQU</c:v>
                </c:pt>
              </c:strCache>
            </c:strRef>
          </c:cat>
          <c:val>
            <c:numRef>
              <c:f>[ALL.xlsx]Sheet3!$D$3:$D$9</c:f>
              <c:numCache>
                <c:formatCode>General</c:formatCode>
                <c:ptCount val="7"/>
                <c:pt idx="0">
                  <c:v>2.588877818563184</c:v>
                </c:pt>
                <c:pt idx="1">
                  <c:v>3.482819505809192</c:v>
                </c:pt>
                <c:pt idx="2">
                  <c:v>3.5468831168831167</c:v>
                </c:pt>
                <c:pt idx="3">
                  <c:v>2.9160086121232207</c:v>
                </c:pt>
                <c:pt idx="4">
                  <c:v>3.5389875631558305</c:v>
                </c:pt>
                <c:pt idx="5">
                  <c:v>4.2293467336683488</c:v>
                </c:pt>
                <c:pt idx="6">
                  <c:v>3.395058419244009</c:v>
                </c:pt>
              </c:numCache>
            </c:numRef>
          </c:val>
          <c:smooth val="0"/>
        </c:ser>
        <c:dLbls>
          <c:showLegendKey val="0"/>
          <c:showVal val="0"/>
          <c:showCatName val="0"/>
          <c:showSerName val="0"/>
          <c:showPercent val="0"/>
          <c:showBubbleSize val="0"/>
        </c:dLbls>
        <c:marker val="1"/>
        <c:smooth val="0"/>
        <c:axId val="107265024"/>
        <c:axId val="107263488"/>
      </c:lineChart>
      <c:catAx>
        <c:axId val="99198848"/>
        <c:scaling>
          <c:orientation val="minMax"/>
        </c:scaling>
        <c:delete val="0"/>
        <c:axPos val="b"/>
        <c:title>
          <c:tx>
            <c:rich>
              <a:bodyPr/>
              <a:lstStyle/>
              <a:p>
                <a:pPr>
                  <a:defRPr/>
                </a:pPr>
                <a:r>
                  <a:rPr lang="en-US"/>
                  <a:t>university</a:t>
                </a:r>
              </a:p>
            </c:rich>
          </c:tx>
          <c:overlay val="0"/>
        </c:title>
        <c:majorTickMark val="out"/>
        <c:minorTickMark val="none"/>
        <c:tickLblPos val="nextTo"/>
        <c:txPr>
          <a:bodyPr/>
          <a:lstStyle/>
          <a:p>
            <a:pPr>
              <a:defRPr>
                <a:ln>
                  <a:solidFill>
                    <a:sysClr val="windowText" lastClr="000000"/>
                  </a:solidFill>
                </a:ln>
              </a:defRPr>
            </a:pPr>
            <a:endParaRPr lang="ar-SA"/>
          </a:p>
        </c:txPr>
        <c:crossAx val="107261952"/>
        <c:crosses val="autoZero"/>
        <c:auto val="1"/>
        <c:lblAlgn val="ctr"/>
        <c:lblOffset val="100"/>
        <c:noMultiLvlLbl val="0"/>
      </c:catAx>
      <c:valAx>
        <c:axId val="107261952"/>
        <c:scaling>
          <c:orientation val="minMax"/>
          <c:max val="100"/>
        </c:scaling>
        <c:delete val="0"/>
        <c:axPos val="l"/>
        <c:numFmt formatCode="General" sourceLinked="1"/>
        <c:majorTickMark val="out"/>
        <c:minorTickMark val="none"/>
        <c:tickLblPos val="nextTo"/>
        <c:txPr>
          <a:bodyPr/>
          <a:lstStyle/>
          <a:p>
            <a:pPr>
              <a:defRPr>
                <a:ln>
                  <a:solidFill>
                    <a:sysClr val="windowText" lastClr="000000"/>
                  </a:solidFill>
                </a:ln>
                <a:solidFill>
                  <a:srgbClr val="FF0000"/>
                </a:solidFill>
              </a:defRPr>
            </a:pPr>
            <a:endParaRPr lang="ar-SA"/>
          </a:p>
        </c:txPr>
        <c:crossAx val="99198848"/>
        <c:crosses val="autoZero"/>
        <c:crossBetween val="between"/>
      </c:valAx>
      <c:valAx>
        <c:axId val="107263488"/>
        <c:scaling>
          <c:orientation val="minMax"/>
        </c:scaling>
        <c:delete val="0"/>
        <c:axPos val="r"/>
        <c:numFmt formatCode="General" sourceLinked="1"/>
        <c:majorTickMark val="out"/>
        <c:minorTickMark val="none"/>
        <c:tickLblPos val="nextTo"/>
        <c:txPr>
          <a:bodyPr/>
          <a:lstStyle/>
          <a:p>
            <a:pPr>
              <a:defRPr>
                <a:ln>
                  <a:solidFill>
                    <a:schemeClr val="accent3">
                      <a:lumMod val="50000"/>
                    </a:schemeClr>
                  </a:solidFill>
                </a:ln>
              </a:defRPr>
            </a:pPr>
            <a:endParaRPr lang="ar-SA"/>
          </a:p>
        </c:txPr>
        <c:crossAx val="107265024"/>
        <c:crosses val="max"/>
        <c:crossBetween val="between"/>
      </c:valAx>
      <c:catAx>
        <c:axId val="107265024"/>
        <c:scaling>
          <c:orientation val="minMax"/>
        </c:scaling>
        <c:delete val="1"/>
        <c:axPos val="b"/>
        <c:majorTickMark val="out"/>
        <c:minorTickMark val="none"/>
        <c:tickLblPos val="none"/>
        <c:crossAx val="107263488"/>
        <c:crosses val="autoZero"/>
        <c:auto val="1"/>
        <c:lblAlgn val="ctr"/>
        <c:lblOffset val="100"/>
        <c:noMultiLvlLbl val="0"/>
      </c:catAx>
      <c:spPr>
        <a:solidFill>
          <a:schemeClr val="bg2"/>
        </a:solidFill>
        <a:ln>
          <a:solidFill>
            <a:schemeClr val="bg2"/>
          </a:solidFill>
        </a:ln>
      </c:spPr>
    </c:plotArea>
    <c:legend>
      <c:legendPos val="b"/>
      <c:layout>
        <c:manualLayout>
          <c:xMode val="edge"/>
          <c:yMode val="edge"/>
          <c:x val="0.29221777191145903"/>
          <c:y val="0.92737785788824589"/>
          <c:w val="0.41556445617708193"/>
          <c:h val="7.2622142111754107E-2"/>
        </c:manualLayout>
      </c:layout>
      <c:overlay val="0"/>
      <c:txPr>
        <a:bodyPr/>
        <a:lstStyle/>
        <a:p>
          <a:pPr>
            <a:defRPr>
              <a:ln>
                <a:solidFill>
                  <a:sysClr val="windowText" lastClr="000000"/>
                </a:solidFill>
              </a:ln>
            </a:defRPr>
          </a:pPr>
          <a:endParaRPr lang="ar-SA"/>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1434562275274074"/>
          <c:y val="5.1489955766738461E-2"/>
          <c:w val="0.76321344428910021"/>
          <c:h val="0.66243335157975158"/>
        </c:manualLayout>
      </c:layout>
      <c:barChart>
        <c:barDir val="col"/>
        <c:grouping val="clustered"/>
        <c:varyColors val="0"/>
        <c:ser>
          <c:idx val="1"/>
          <c:order val="1"/>
          <c:tx>
            <c:strRef>
              <c:f>[ALL.xlsx]Sheet2!$C$2</c:f>
              <c:strCache>
                <c:ptCount val="1"/>
                <c:pt idx="0">
                  <c:v>GAT</c:v>
                </c:pt>
              </c:strCache>
            </c:strRef>
          </c:tx>
          <c:invertIfNegative val="0"/>
          <c:cat>
            <c:numRef>
              <c:f>[ALL.xlsx]Sheet2!$A$3:$A$27</c:f>
              <c:numCache>
                <c:formatCode>General</c:formatCode>
                <c:ptCount val="25"/>
                <c:pt idx="0">
                  <c:v>95.2</c:v>
                </c:pt>
                <c:pt idx="1">
                  <c:v>95.4</c:v>
                </c:pt>
                <c:pt idx="2">
                  <c:v>95.6</c:v>
                </c:pt>
                <c:pt idx="3">
                  <c:v>95.8</c:v>
                </c:pt>
                <c:pt idx="4">
                  <c:v>96</c:v>
                </c:pt>
                <c:pt idx="5">
                  <c:v>96.2</c:v>
                </c:pt>
                <c:pt idx="6">
                  <c:v>96.4</c:v>
                </c:pt>
                <c:pt idx="7">
                  <c:v>96.6</c:v>
                </c:pt>
                <c:pt idx="8">
                  <c:v>96.8</c:v>
                </c:pt>
                <c:pt idx="9">
                  <c:v>97</c:v>
                </c:pt>
                <c:pt idx="10">
                  <c:v>97.2</c:v>
                </c:pt>
                <c:pt idx="11">
                  <c:v>97.4</c:v>
                </c:pt>
                <c:pt idx="12">
                  <c:v>97.6</c:v>
                </c:pt>
                <c:pt idx="13">
                  <c:v>97.8</c:v>
                </c:pt>
                <c:pt idx="14">
                  <c:v>98</c:v>
                </c:pt>
                <c:pt idx="15">
                  <c:v>98.2</c:v>
                </c:pt>
                <c:pt idx="16">
                  <c:v>98.4</c:v>
                </c:pt>
                <c:pt idx="17">
                  <c:v>98.600000000000094</c:v>
                </c:pt>
                <c:pt idx="18">
                  <c:v>98.800000000000097</c:v>
                </c:pt>
                <c:pt idx="19">
                  <c:v>99.000000000000099</c:v>
                </c:pt>
                <c:pt idx="20">
                  <c:v>99.200000000000102</c:v>
                </c:pt>
                <c:pt idx="21">
                  <c:v>99.400000000000105</c:v>
                </c:pt>
                <c:pt idx="22">
                  <c:v>99.600000000000094</c:v>
                </c:pt>
                <c:pt idx="23">
                  <c:v>99.800000000000097</c:v>
                </c:pt>
                <c:pt idx="24">
                  <c:v>100</c:v>
                </c:pt>
              </c:numCache>
            </c:numRef>
          </c:cat>
          <c:val>
            <c:numRef>
              <c:f>[ALL.xlsx]Sheet2!$C$3:$C$27</c:f>
              <c:numCache>
                <c:formatCode>General</c:formatCode>
                <c:ptCount val="25"/>
                <c:pt idx="0">
                  <c:v>67.725656565656564</c:v>
                </c:pt>
                <c:pt idx="1">
                  <c:v>68.625604838709677</c:v>
                </c:pt>
                <c:pt idx="2">
                  <c:v>66.266666666666666</c:v>
                </c:pt>
                <c:pt idx="3">
                  <c:v>66.422997946611915</c:v>
                </c:pt>
                <c:pt idx="4">
                  <c:v>69.029901380670623</c:v>
                </c:pt>
                <c:pt idx="5">
                  <c:v>68.639071566731133</c:v>
                </c:pt>
                <c:pt idx="6">
                  <c:v>70.027430555555554</c:v>
                </c:pt>
                <c:pt idx="7">
                  <c:v>68.838028169014081</c:v>
                </c:pt>
                <c:pt idx="8">
                  <c:v>67.480859232175504</c:v>
                </c:pt>
                <c:pt idx="9">
                  <c:v>70.552631578947384</c:v>
                </c:pt>
                <c:pt idx="10">
                  <c:v>70.88955298013245</c:v>
                </c:pt>
                <c:pt idx="11">
                  <c:v>69.106164383561648</c:v>
                </c:pt>
                <c:pt idx="12">
                  <c:v>71.555024711696859</c:v>
                </c:pt>
                <c:pt idx="13">
                  <c:v>71.023350253807095</c:v>
                </c:pt>
                <c:pt idx="14">
                  <c:v>70.591822827938657</c:v>
                </c:pt>
                <c:pt idx="15">
                  <c:v>71.622820919175908</c:v>
                </c:pt>
                <c:pt idx="16">
                  <c:v>72.829392446633818</c:v>
                </c:pt>
                <c:pt idx="17">
                  <c:v>73.264816666666647</c:v>
                </c:pt>
                <c:pt idx="18">
                  <c:v>71.847376788553262</c:v>
                </c:pt>
                <c:pt idx="19">
                  <c:v>73.17400346620451</c:v>
                </c:pt>
                <c:pt idx="20">
                  <c:v>74.974408099688475</c:v>
                </c:pt>
                <c:pt idx="21">
                  <c:v>74.01228878648233</c:v>
                </c:pt>
                <c:pt idx="22">
                  <c:v>74.766613924050631</c:v>
                </c:pt>
                <c:pt idx="23">
                  <c:v>76.777224958949105</c:v>
                </c:pt>
                <c:pt idx="24">
                  <c:v>79.087385019710908</c:v>
                </c:pt>
              </c:numCache>
            </c:numRef>
          </c:val>
        </c:ser>
        <c:dLbls>
          <c:showLegendKey val="0"/>
          <c:showVal val="0"/>
          <c:showCatName val="0"/>
          <c:showSerName val="0"/>
          <c:showPercent val="0"/>
          <c:showBubbleSize val="0"/>
        </c:dLbls>
        <c:gapWidth val="150"/>
        <c:axId val="126203008"/>
        <c:axId val="126204928"/>
      </c:barChart>
      <c:lineChart>
        <c:grouping val="standard"/>
        <c:varyColors val="0"/>
        <c:ser>
          <c:idx val="0"/>
          <c:order val="0"/>
          <c:tx>
            <c:strRef>
              <c:f>[ALL.xlsx]Sheet2!$B$2</c:f>
              <c:strCache>
                <c:ptCount val="1"/>
                <c:pt idx="0">
                  <c:v>FYGPA</c:v>
                </c:pt>
              </c:strCache>
            </c:strRef>
          </c:tx>
          <c:spPr>
            <a:ln w="19050"/>
          </c:spPr>
          <c:marker>
            <c:symbol val="circle"/>
            <c:size val="5"/>
            <c:spPr>
              <a:solidFill>
                <a:srgbClr val="1F497D">
                  <a:lumMod val="60000"/>
                  <a:lumOff val="40000"/>
                </a:srgbClr>
              </a:solidFill>
              <a:ln w="19050"/>
            </c:spPr>
          </c:marker>
          <c:cat>
            <c:numRef>
              <c:f>[ALL.xlsx]Sheet2!$A$3:$A$27</c:f>
              <c:numCache>
                <c:formatCode>General</c:formatCode>
                <c:ptCount val="25"/>
                <c:pt idx="0">
                  <c:v>95.2</c:v>
                </c:pt>
                <c:pt idx="1">
                  <c:v>95.4</c:v>
                </c:pt>
                <c:pt idx="2">
                  <c:v>95.6</c:v>
                </c:pt>
                <c:pt idx="3">
                  <c:v>95.8</c:v>
                </c:pt>
                <c:pt idx="4">
                  <c:v>96</c:v>
                </c:pt>
                <c:pt idx="5">
                  <c:v>96.2</c:v>
                </c:pt>
                <c:pt idx="6">
                  <c:v>96.4</c:v>
                </c:pt>
                <c:pt idx="7">
                  <c:v>96.6</c:v>
                </c:pt>
                <c:pt idx="8">
                  <c:v>96.8</c:v>
                </c:pt>
                <c:pt idx="9">
                  <c:v>97</c:v>
                </c:pt>
                <c:pt idx="10">
                  <c:v>97.2</c:v>
                </c:pt>
                <c:pt idx="11">
                  <c:v>97.4</c:v>
                </c:pt>
                <c:pt idx="12">
                  <c:v>97.6</c:v>
                </c:pt>
                <c:pt idx="13">
                  <c:v>97.8</c:v>
                </c:pt>
                <c:pt idx="14">
                  <c:v>98</c:v>
                </c:pt>
                <c:pt idx="15">
                  <c:v>98.2</c:v>
                </c:pt>
                <c:pt idx="16">
                  <c:v>98.4</c:v>
                </c:pt>
                <c:pt idx="17">
                  <c:v>98.600000000000094</c:v>
                </c:pt>
                <c:pt idx="18">
                  <c:v>98.800000000000097</c:v>
                </c:pt>
                <c:pt idx="19">
                  <c:v>99.000000000000099</c:v>
                </c:pt>
                <c:pt idx="20">
                  <c:v>99.200000000000102</c:v>
                </c:pt>
                <c:pt idx="21">
                  <c:v>99.400000000000105</c:v>
                </c:pt>
                <c:pt idx="22">
                  <c:v>99.600000000000094</c:v>
                </c:pt>
                <c:pt idx="23">
                  <c:v>99.800000000000097</c:v>
                </c:pt>
                <c:pt idx="24">
                  <c:v>100</c:v>
                </c:pt>
              </c:numCache>
            </c:numRef>
          </c:cat>
          <c:val>
            <c:numRef>
              <c:f>[ALL.xlsx]Sheet2!$B$3:$B$27</c:f>
              <c:numCache>
                <c:formatCode>General</c:formatCode>
                <c:ptCount val="25"/>
                <c:pt idx="0">
                  <c:v>3.0189860279441163</c:v>
                </c:pt>
                <c:pt idx="1">
                  <c:v>3.0322828685258973</c:v>
                </c:pt>
                <c:pt idx="2">
                  <c:v>3.0326798418972367</c:v>
                </c:pt>
                <c:pt idx="3">
                  <c:v>3.0419980079681275</c:v>
                </c:pt>
                <c:pt idx="4">
                  <c:v>3.1540291828793801</c:v>
                </c:pt>
                <c:pt idx="5">
                  <c:v>3.135849523809525</c:v>
                </c:pt>
                <c:pt idx="6">
                  <c:v>3.1171249999999984</c:v>
                </c:pt>
                <c:pt idx="7">
                  <c:v>3.1231866197183091</c:v>
                </c:pt>
                <c:pt idx="8">
                  <c:v>3.1660341726618708</c:v>
                </c:pt>
                <c:pt idx="9">
                  <c:v>3.212086799276674</c:v>
                </c:pt>
                <c:pt idx="10">
                  <c:v>3.2423868852458977</c:v>
                </c:pt>
                <c:pt idx="11">
                  <c:v>3.1491943048576228</c:v>
                </c:pt>
                <c:pt idx="12">
                  <c:v>3.2137483443708597</c:v>
                </c:pt>
                <c:pt idx="13">
                  <c:v>3.2826582491582554</c:v>
                </c:pt>
                <c:pt idx="14">
                  <c:v>3.3180333333333372</c:v>
                </c:pt>
                <c:pt idx="15">
                  <c:v>3.3436069730586353</c:v>
                </c:pt>
                <c:pt idx="16">
                  <c:v>3.3707631578947392</c:v>
                </c:pt>
                <c:pt idx="17">
                  <c:v>3.4236342668863244</c:v>
                </c:pt>
                <c:pt idx="18">
                  <c:v>3.3668938906752413</c:v>
                </c:pt>
                <c:pt idx="19">
                  <c:v>3.5062657580919967</c:v>
                </c:pt>
                <c:pt idx="20">
                  <c:v>3.4861310452418115</c:v>
                </c:pt>
                <c:pt idx="21">
                  <c:v>3.5035115919629112</c:v>
                </c:pt>
                <c:pt idx="22">
                  <c:v>3.6284544025157279</c:v>
                </c:pt>
                <c:pt idx="23">
                  <c:v>3.5458606965174098</c:v>
                </c:pt>
                <c:pt idx="24">
                  <c:v>3.7705816993464034</c:v>
                </c:pt>
              </c:numCache>
            </c:numRef>
          </c:val>
          <c:smooth val="0"/>
        </c:ser>
        <c:dLbls>
          <c:showLegendKey val="0"/>
          <c:showVal val="0"/>
          <c:showCatName val="0"/>
          <c:showSerName val="0"/>
          <c:showPercent val="0"/>
          <c:showBubbleSize val="0"/>
        </c:dLbls>
        <c:marker val="1"/>
        <c:smooth val="0"/>
        <c:axId val="126208256"/>
        <c:axId val="126206720"/>
      </c:lineChart>
      <c:catAx>
        <c:axId val="126203008"/>
        <c:scaling>
          <c:orientation val="minMax"/>
        </c:scaling>
        <c:delete val="0"/>
        <c:axPos val="b"/>
        <c:numFmt formatCode="#,##0.0" sourceLinked="0"/>
        <c:majorTickMark val="out"/>
        <c:minorTickMark val="none"/>
        <c:tickLblPos val="nextTo"/>
        <c:txPr>
          <a:bodyPr/>
          <a:lstStyle/>
          <a:p>
            <a:pPr>
              <a:defRPr>
                <a:ln>
                  <a:solidFill>
                    <a:sysClr val="windowText" lastClr="000000"/>
                  </a:solidFill>
                </a:ln>
              </a:defRPr>
            </a:pPr>
            <a:endParaRPr lang="ar-SA"/>
          </a:p>
        </c:txPr>
        <c:crossAx val="126204928"/>
        <c:crosses val="autoZero"/>
        <c:auto val="1"/>
        <c:lblAlgn val="ctr"/>
        <c:lblOffset val="100"/>
        <c:noMultiLvlLbl val="0"/>
      </c:catAx>
      <c:valAx>
        <c:axId val="126204928"/>
        <c:scaling>
          <c:orientation val="minMax"/>
          <c:max val="80"/>
          <c:min val="60"/>
        </c:scaling>
        <c:delete val="0"/>
        <c:axPos val="l"/>
        <c:numFmt formatCode="General" sourceLinked="1"/>
        <c:majorTickMark val="out"/>
        <c:minorTickMark val="none"/>
        <c:tickLblPos val="nextTo"/>
        <c:txPr>
          <a:bodyPr/>
          <a:lstStyle/>
          <a:p>
            <a:pPr>
              <a:defRPr>
                <a:ln>
                  <a:solidFill>
                    <a:srgbClr val="C00000"/>
                  </a:solidFill>
                </a:ln>
              </a:defRPr>
            </a:pPr>
            <a:endParaRPr lang="ar-SA"/>
          </a:p>
        </c:txPr>
        <c:crossAx val="126203008"/>
        <c:crosses val="autoZero"/>
        <c:crossBetween val="between"/>
      </c:valAx>
      <c:valAx>
        <c:axId val="126206720"/>
        <c:scaling>
          <c:orientation val="minMax"/>
          <c:min val="2.7"/>
        </c:scaling>
        <c:delete val="0"/>
        <c:axPos val="r"/>
        <c:numFmt formatCode="General" sourceLinked="1"/>
        <c:majorTickMark val="out"/>
        <c:minorTickMark val="none"/>
        <c:tickLblPos val="nextTo"/>
        <c:txPr>
          <a:bodyPr/>
          <a:lstStyle/>
          <a:p>
            <a:pPr>
              <a:defRPr>
                <a:ln>
                  <a:solidFill>
                    <a:schemeClr val="tx2">
                      <a:lumMod val="60000"/>
                      <a:lumOff val="40000"/>
                    </a:schemeClr>
                  </a:solidFill>
                </a:ln>
              </a:defRPr>
            </a:pPr>
            <a:endParaRPr lang="ar-SA"/>
          </a:p>
        </c:txPr>
        <c:crossAx val="126208256"/>
        <c:crosses val="max"/>
        <c:crossBetween val="between"/>
      </c:valAx>
      <c:catAx>
        <c:axId val="126208256"/>
        <c:scaling>
          <c:orientation val="minMax"/>
        </c:scaling>
        <c:delete val="1"/>
        <c:axPos val="b"/>
        <c:numFmt formatCode="General" sourceLinked="1"/>
        <c:majorTickMark val="out"/>
        <c:minorTickMark val="none"/>
        <c:tickLblPos val="none"/>
        <c:crossAx val="126206720"/>
        <c:crosses val="autoZero"/>
        <c:auto val="1"/>
        <c:lblAlgn val="ctr"/>
        <c:lblOffset val="100"/>
        <c:noMultiLvlLbl val="0"/>
      </c:catAx>
    </c:plotArea>
    <c:legend>
      <c:legendPos val="t"/>
      <c:overlay val="0"/>
      <c:txPr>
        <a:bodyPr/>
        <a:lstStyle/>
        <a:p>
          <a:pPr>
            <a:defRPr>
              <a:ln>
                <a:solidFill>
                  <a:sysClr val="windowText" lastClr="000000"/>
                </a:solidFill>
              </a:ln>
            </a:defRPr>
          </a:pPr>
          <a:endParaRPr lang="ar-SA"/>
        </a:p>
      </c:txPr>
    </c:legend>
    <c:plotVisOnly val="1"/>
    <c:dispBlanksAs val="gap"/>
    <c:showDLblsOverMax val="0"/>
  </c:chart>
  <c:spPr>
    <a:ln w="25400">
      <a:solidFill>
        <a:sysClr val="windowText" lastClr="000000"/>
      </a:solid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699214797870936"/>
          <c:y val="0.18455972285580172"/>
          <c:w val="0.77972147685449933"/>
          <c:h val="0.61793635997011709"/>
        </c:manualLayout>
      </c:layout>
      <c:barChart>
        <c:barDir val="col"/>
        <c:grouping val="clustered"/>
        <c:varyColors val="0"/>
        <c:ser>
          <c:idx val="1"/>
          <c:order val="1"/>
          <c:tx>
            <c:strRef>
              <c:f>Sheet2!$G$2</c:f>
              <c:strCache>
                <c:ptCount val="1"/>
                <c:pt idx="0">
                  <c:v>GAT</c:v>
                </c:pt>
              </c:strCache>
            </c:strRef>
          </c:tx>
          <c:invertIfNegative val="0"/>
          <c:cat>
            <c:numRef>
              <c:f>Sheet2!$A$3:$A$26</c:f>
              <c:numCache>
                <c:formatCode>General</c:formatCode>
                <c:ptCount val="24"/>
                <c:pt idx="0">
                  <c:v>95.2</c:v>
                </c:pt>
                <c:pt idx="1">
                  <c:v>95.4</c:v>
                </c:pt>
                <c:pt idx="2">
                  <c:v>95.6</c:v>
                </c:pt>
                <c:pt idx="3">
                  <c:v>95.8</c:v>
                </c:pt>
                <c:pt idx="4">
                  <c:v>96</c:v>
                </c:pt>
                <c:pt idx="5">
                  <c:v>96.2</c:v>
                </c:pt>
                <c:pt idx="6">
                  <c:v>96.4</c:v>
                </c:pt>
                <c:pt idx="7">
                  <c:v>96.6</c:v>
                </c:pt>
                <c:pt idx="8">
                  <c:v>96.8</c:v>
                </c:pt>
                <c:pt idx="9">
                  <c:v>97</c:v>
                </c:pt>
                <c:pt idx="10">
                  <c:v>97.2</c:v>
                </c:pt>
                <c:pt idx="11">
                  <c:v>97.4</c:v>
                </c:pt>
                <c:pt idx="12">
                  <c:v>97.6</c:v>
                </c:pt>
                <c:pt idx="13">
                  <c:v>97.8</c:v>
                </c:pt>
                <c:pt idx="14">
                  <c:v>98</c:v>
                </c:pt>
                <c:pt idx="15">
                  <c:v>98.2</c:v>
                </c:pt>
                <c:pt idx="16">
                  <c:v>98.4</c:v>
                </c:pt>
                <c:pt idx="17">
                  <c:v>98.600000000000094</c:v>
                </c:pt>
                <c:pt idx="18">
                  <c:v>98.800000000000097</c:v>
                </c:pt>
                <c:pt idx="19">
                  <c:v>99.000000000000099</c:v>
                </c:pt>
                <c:pt idx="20">
                  <c:v>99.200000000000102</c:v>
                </c:pt>
                <c:pt idx="21">
                  <c:v>99.400000000000105</c:v>
                </c:pt>
                <c:pt idx="22">
                  <c:v>99.600000000000094</c:v>
                </c:pt>
                <c:pt idx="23">
                  <c:v>99.800000000000097</c:v>
                </c:pt>
              </c:numCache>
            </c:numRef>
          </c:cat>
          <c:val>
            <c:numRef>
              <c:f>Sheet2!$G$3:$G$26</c:f>
              <c:numCache>
                <c:formatCode>General</c:formatCode>
                <c:ptCount val="24"/>
                <c:pt idx="0">
                  <c:v>72.888888888888886</c:v>
                </c:pt>
                <c:pt idx="1">
                  <c:v>75.428571428571431</c:v>
                </c:pt>
                <c:pt idx="2">
                  <c:v>68.25</c:v>
                </c:pt>
                <c:pt idx="3">
                  <c:v>69.333333333333329</c:v>
                </c:pt>
                <c:pt idx="4">
                  <c:v>85.5</c:v>
                </c:pt>
                <c:pt idx="5">
                  <c:v>80.111111111111114</c:v>
                </c:pt>
                <c:pt idx="6">
                  <c:v>76</c:v>
                </c:pt>
                <c:pt idx="7">
                  <c:v>78</c:v>
                </c:pt>
                <c:pt idx="8">
                  <c:v>73.75</c:v>
                </c:pt>
                <c:pt idx="9">
                  <c:v>71.666666666666671</c:v>
                </c:pt>
                <c:pt idx="10">
                  <c:v>79</c:v>
                </c:pt>
                <c:pt idx="11">
                  <c:v>72</c:v>
                </c:pt>
                <c:pt idx="12">
                  <c:v>75</c:v>
                </c:pt>
                <c:pt idx="13">
                  <c:v>81.833333333333329</c:v>
                </c:pt>
                <c:pt idx="14">
                  <c:v>70.5</c:v>
                </c:pt>
                <c:pt idx="15">
                  <c:v>85.5</c:v>
                </c:pt>
                <c:pt idx="16">
                  <c:v>78</c:v>
                </c:pt>
                <c:pt idx="17">
                  <c:v>72.2</c:v>
                </c:pt>
                <c:pt idx="18">
                  <c:v>79.25</c:v>
                </c:pt>
                <c:pt idx="19">
                  <c:v>95</c:v>
                </c:pt>
                <c:pt idx="20">
                  <c:v>81</c:v>
                </c:pt>
                <c:pt idx="21">
                  <c:v>78.5</c:v>
                </c:pt>
                <c:pt idx="22">
                  <c:v>85.5</c:v>
                </c:pt>
                <c:pt idx="23">
                  <c:v>91</c:v>
                </c:pt>
              </c:numCache>
            </c:numRef>
          </c:val>
        </c:ser>
        <c:dLbls>
          <c:showLegendKey val="0"/>
          <c:showVal val="0"/>
          <c:showCatName val="0"/>
          <c:showSerName val="0"/>
          <c:showPercent val="0"/>
          <c:showBubbleSize val="0"/>
        </c:dLbls>
        <c:gapWidth val="150"/>
        <c:axId val="132643072"/>
        <c:axId val="133505408"/>
      </c:barChart>
      <c:lineChart>
        <c:grouping val="standard"/>
        <c:varyColors val="0"/>
        <c:ser>
          <c:idx val="0"/>
          <c:order val="0"/>
          <c:tx>
            <c:strRef>
              <c:f>Sheet2!$F$2</c:f>
              <c:strCache>
                <c:ptCount val="1"/>
                <c:pt idx="0">
                  <c:v>FYGPA</c:v>
                </c:pt>
              </c:strCache>
            </c:strRef>
          </c:tx>
          <c:spPr>
            <a:ln w="19050"/>
          </c:spPr>
          <c:marker>
            <c:symbol val="circle"/>
            <c:size val="5"/>
            <c:spPr>
              <a:solidFill>
                <a:srgbClr val="1F497D">
                  <a:lumMod val="60000"/>
                  <a:lumOff val="40000"/>
                </a:srgbClr>
              </a:solidFill>
              <a:ln w="19050"/>
            </c:spPr>
          </c:marker>
          <c:cat>
            <c:multiLvlStrRef>
              <c:f>Sheet2!$E$2:$G$26</c:f>
              <c:multiLvlStrCache>
                <c:ptCount val="25"/>
                <c:lvl>
                  <c:pt idx="0">
                    <c:v>GAT</c:v>
                  </c:pt>
                  <c:pt idx="1">
                    <c:v>72.88888889</c:v>
                  </c:pt>
                  <c:pt idx="2">
                    <c:v>75.42857143</c:v>
                  </c:pt>
                  <c:pt idx="3">
                    <c:v>68.25</c:v>
                  </c:pt>
                  <c:pt idx="4">
                    <c:v>69.33333333</c:v>
                  </c:pt>
                  <c:pt idx="5">
                    <c:v>85.5</c:v>
                  </c:pt>
                  <c:pt idx="6">
                    <c:v>80.11111111</c:v>
                  </c:pt>
                  <c:pt idx="7">
                    <c:v>76</c:v>
                  </c:pt>
                  <c:pt idx="8">
                    <c:v>78</c:v>
                  </c:pt>
                  <c:pt idx="9">
                    <c:v>73.75</c:v>
                  </c:pt>
                  <c:pt idx="10">
                    <c:v>71.66666667</c:v>
                  </c:pt>
                  <c:pt idx="11">
                    <c:v>79</c:v>
                  </c:pt>
                  <c:pt idx="12">
                    <c:v>72</c:v>
                  </c:pt>
                  <c:pt idx="13">
                    <c:v>75</c:v>
                  </c:pt>
                  <c:pt idx="14">
                    <c:v>81.83333333</c:v>
                  </c:pt>
                  <c:pt idx="15">
                    <c:v>70.5</c:v>
                  </c:pt>
                  <c:pt idx="16">
                    <c:v>85.5</c:v>
                  </c:pt>
                  <c:pt idx="17">
                    <c:v>78</c:v>
                  </c:pt>
                  <c:pt idx="18">
                    <c:v>72.2</c:v>
                  </c:pt>
                  <c:pt idx="19">
                    <c:v>79.25</c:v>
                  </c:pt>
                  <c:pt idx="20">
                    <c:v>95</c:v>
                  </c:pt>
                  <c:pt idx="21">
                    <c:v>81</c:v>
                  </c:pt>
                  <c:pt idx="22">
                    <c:v>78.5</c:v>
                  </c:pt>
                  <c:pt idx="23">
                    <c:v>85.5</c:v>
                  </c:pt>
                  <c:pt idx="24">
                    <c:v>91</c:v>
                  </c:pt>
                </c:lvl>
                <c:lvl>
                  <c:pt idx="0">
                    <c:v>FYGPA</c:v>
                  </c:pt>
                  <c:pt idx="1">
                    <c:v>3.61</c:v>
                  </c:pt>
                  <c:pt idx="2">
                    <c:v>4.345</c:v>
                  </c:pt>
                  <c:pt idx="3">
                    <c:v>2.975</c:v>
                  </c:pt>
                  <c:pt idx="4">
                    <c:v>3.63</c:v>
                  </c:pt>
                  <c:pt idx="5">
                    <c:v>4.58</c:v>
                  </c:pt>
                  <c:pt idx="6">
                    <c:v>4.355555556</c:v>
                  </c:pt>
                  <c:pt idx="7">
                    <c:v>2.2325</c:v>
                  </c:pt>
                  <c:pt idx="8">
                    <c:v>4.53</c:v>
                  </c:pt>
                  <c:pt idx="9">
                    <c:v>4.38</c:v>
                  </c:pt>
                  <c:pt idx="10">
                    <c:v>4.21</c:v>
                  </c:pt>
                  <c:pt idx="11">
                    <c:v>4.083333333</c:v>
                  </c:pt>
                  <c:pt idx="12">
                    <c:v>3.6175</c:v>
                  </c:pt>
                  <c:pt idx="13">
                    <c:v>3.99</c:v>
                  </c:pt>
                  <c:pt idx="14">
                    <c:v>4.518333333</c:v>
                  </c:pt>
                  <c:pt idx="15">
                    <c:v>2.955</c:v>
                  </c:pt>
                  <c:pt idx="16">
                    <c:v>4.895</c:v>
                  </c:pt>
                  <c:pt idx="17">
                    <c:v>4.775</c:v>
                  </c:pt>
                  <c:pt idx="18">
                    <c:v>4.238</c:v>
                  </c:pt>
                  <c:pt idx="19">
                    <c:v>4.15</c:v>
                  </c:pt>
                  <c:pt idx="20">
                    <c:v>5</c:v>
                  </c:pt>
                  <c:pt idx="21">
                    <c:v>4.453333333</c:v>
                  </c:pt>
                  <c:pt idx="22">
                    <c:v>4.98</c:v>
                  </c:pt>
                  <c:pt idx="23">
                    <c:v>3.395</c:v>
                  </c:pt>
                  <c:pt idx="24">
                    <c:v>4.91</c:v>
                  </c:pt>
                </c:lvl>
                <c:lvl>
                  <c:pt idx="1">
                    <c:v>95.2</c:v>
                  </c:pt>
                  <c:pt idx="2">
                    <c:v>95.4</c:v>
                  </c:pt>
                  <c:pt idx="3">
                    <c:v>95.6</c:v>
                  </c:pt>
                  <c:pt idx="4">
                    <c:v>95.8</c:v>
                  </c:pt>
                  <c:pt idx="5">
                    <c:v>96</c:v>
                  </c:pt>
                  <c:pt idx="6">
                    <c:v>96.2</c:v>
                  </c:pt>
                  <c:pt idx="7">
                    <c:v>96.4</c:v>
                  </c:pt>
                  <c:pt idx="8">
                    <c:v>96.6</c:v>
                  </c:pt>
                  <c:pt idx="9">
                    <c:v>96.8</c:v>
                  </c:pt>
                  <c:pt idx="10">
                    <c:v>97</c:v>
                  </c:pt>
                  <c:pt idx="11">
                    <c:v>97.2</c:v>
                  </c:pt>
                  <c:pt idx="12">
                    <c:v>97.4</c:v>
                  </c:pt>
                  <c:pt idx="13">
                    <c:v>97.6</c:v>
                  </c:pt>
                  <c:pt idx="14">
                    <c:v>97.8</c:v>
                  </c:pt>
                  <c:pt idx="15">
                    <c:v>98</c:v>
                  </c:pt>
                  <c:pt idx="16">
                    <c:v>98.2</c:v>
                  </c:pt>
                  <c:pt idx="17">
                    <c:v>98.4</c:v>
                  </c:pt>
                  <c:pt idx="18">
                    <c:v>98.8</c:v>
                  </c:pt>
                  <c:pt idx="19">
                    <c:v>99</c:v>
                  </c:pt>
                  <c:pt idx="20">
                    <c:v>99.2</c:v>
                  </c:pt>
                  <c:pt idx="21">
                    <c:v>99.4</c:v>
                  </c:pt>
                  <c:pt idx="22">
                    <c:v>99.6</c:v>
                  </c:pt>
                  <c:pt idx="23">
                    <c:v>99.8</c:v>
                  </c:pt>
                  <c:pt idx="24">
                    <c:v>100</c:v>
                  </c:pt>
                </c:lvl>
              </c:multiLvlStrCache>
            </c:multiLvlStrRef>
          </c:cat>
          <c:val>
            <c:numRef>
              <c:f>Sheet2!$F$3:$F$26</c:f>
              <c:numCache>
                <c:formatCode>General</c:formatCode>
                <c:ptCount val="24"/>
                <c:pt idx="0">
                  <c:v>3.6099999999999994</c:v>
                </c:pt>
                <c:pt idx="1">
                  <c:v>4.3449999999999998</c:v>
                </c:pt>
                <c:pt idx="2">
                  <c:v>2.9750000000000001</c:v>
                </c:pt>
                <c:pt idx="3">
                  <c:v>3.63</c:v>
                </c:pt>
                <c:pt idx="4">
                  <c:v>4.58</c:v>
                </c:pt>
                <c:pt idx="5">
                  <c:v>4.3555555555555552</c:v>
                </c:pt>
                <c:pt idx="6">
                  <c:v>2.2324999999999999</c:v>
                </c:pt>
                <c:pt idx="7">
                  <c:v>4.53</c:v>
                </c:pt>
                <c:pt idx="8">
                  <c:v>4.38</c:v>
                </c:pt>
                <c:pt idx="9">
                  <c:v>4.21</c:v>
                </c:pt>
                <c:pt idx="10">
                  <c:v>4.083333333333333</c:v>
                </c:pt>
                <c:pt idx="11">
                  <c:v>3.6174999999999997</c:v>
                </c:pt>
                <c:pt idx="12">
                  <c:v>3.99</c:v>
                </c:pt>
                <c:pt idx="13">
                  <c:v>4.5183333333333335</c:v>
                </c:pt>
                <c:pt idx="14">
                  <c:v>2.9550000000000001</c:v>
                </c:pt>
                <c:pt idx="15">
                  <c:v>4.8949999999999996</c:v>
                </c:pt>
                <c:pt idx="16">
                  <c:v>4.7750000000000004</c:v>
                </c:pt>
                <c:pt idx="17">
                  <c:v>4.2380000000000004</c:v>
                </c:pt>
                <c:pt idx="18">
                  <c:v>4.1500000000000004</c:v>
                </c:pt>
                <c:pt idx="19">
                  <c:v>5</c:v>
                </c:pt>
                <c:pt idx="20">
                  <c:v>4.4533333333333331</c:v>
                </c:pt>
                <c:pt idx="21">
                  <c:v>4.9800000000000004</c:v>
                </c:pt>
                <c:pt idx="22">
                  <c:v>3.395</c:v>
                </c:pt>
                <c:pt idx="23">
                  <c:v>4.91</c:v>
                </c:pt>
              </c:numCache>
            </c:numRef>
          </c:val>
          <c:smooth val="0"/>
        </c:ser>
        <c:dLbls>
          <c:showLegendKey val="0"/>
          <c:showVal val="0"/>
          <c:showCatName val="0"/>
          <c:showSerName val="0"/>
          <c:showPercent val="0"/>
          <c:showBubbleSize val="0"/>
        </c:dLbls>
        <c:marker val="1"/>
        <c:smooth val="0"/>
        <c:axId val="133554560"/>
        <c:axId val="133507328"/>
      </c:lineChart>
      <c:catAx>
        <c:axId val="132643072"/>
        <c:scaling>
          <c:orientation val="minMax"/>
        </c:scaling>
        <c:delete val="0"/>
        <c:axPos val="b"/>
        <c:numFmt formatCode="#,##0.0" sourceLinked="0"/>
        <c:majorTickMark val="out"/>
        <c:minorTickMark val="none"/>
        <c:tickLblPos val="nextTo"/>
        <c:txPr>
          <a:bodyPr/>
          <a:lstStyle/>
          <a:p>
            <a:pPr>
              <a:defRPr>
                <a:ln>
                  <a:solidFill>
                    <a:sysClr val="windowText" lastClr="000000"/>
                  </a:solidFill>
                </a:ln>
              </a:defRPr>
            </a:pPr>
            <a:endParaRPr lang="ar-SA"/>
          </a:p>
        </c:txPr>
        <c:crossAx val="133505408"/>
        <c:crosses val="autoZero"/>
        <c:auto val="1"/>
        <c:lblAlgn val="ctr"/>
        <c:lblOffset val="100"/>
        <c:tickLblSkip val="1"/>
        <c:noMultiLvlLbl val="0"/>
      </c:catAx>
      <c:valAx>
        <c:axId val="133505408"/>
        <c:scaling>
          <c:orientation val="minMax"/>
          <c:max val="100"/>
          <c:min val="60"/>
        </c:scaling>
        <c:delete val="0"/>
        <c:axPos val="l"/>
        <c:title>
          <c:tx>
            <c:rich>
              <a:bodyPr rot="0" vert="wordArtVert"/>
              <a:lstStyle/>
              <a:p>
                <a:pPr>
                  <a:defRPr/>
                </a:pPr>
                <a:r>
                  <a:rPr lang="en-US"/>
                  <a:t>GAT</a:t>
                </a:r>
              </a:p>
            </c:rich>
          </c:tx>
          <c:overlay val="0"/>
        </c:title>
        <c:numFmt formatCode="General" sourceLinked="1"/>
        <c:majorTickMark val="out"/>
        <c:minorTickMark val="none"/>
        <c:tickLblPos val="nextTo"/>
        <c:txPr>
          <a:bodyPr/>
          <a:lstStyle/>
          <a:p>
            <a:pPr>
              <a:defRPr>
                <a:ln>
                  <a:solidFill>
                    <a:srgbClr val="C00000"/>
                  </a:solidFill>
                </a:ln>
              </a:defRPr>
            </a:pPr>
            <a:endParaRPr lang="ar-SA"/>
          </a:p>
        </c:txPr>
        <c:crossAx val="132643072"/>
        <c:crosses val="autoZero"/>
        <c:crossBetween val="between"/>
      </c:valAx>
      <c:valAx>
        <c:axId val="133507328"/>
        <c:scaling>
          <c:orientation val="minMax"/>
          <c:min val="2"/>
        </c:scaling>
        <c:delete val="0"/>
        <c:axPos val="r"/>
        <c:title>
          <c:tx>
            <c:rich>
              <a:bodyPr rot="0" vert="wordArtVert"/>
              <a:lstStyle/>
              <a:p>
                <a:pPr>
                  <a:defRPr/>
                </a:pPr>
                <a:r>
                  <a:rPr lang="en-US"/>
                  <a:t>FYGPA</a:t>
                </a:r>
              </a:p>
            </c:rich>
          </c:tx>
          <c:overlay val="0"/>
        </c:title>
        <c:numFmt formatCode="General" sourceLinked="1"/>
        <c:majorTickMark val="out"/>
        <c:minorTickMark val="none"/>
        <c:tickLblPos val="nextTo"/>
        <c:txPr>
          <a:bodyPr/>
          <a:lstStyle/>
          <a:p>
            <a:pPr>
              <a:defRPr>
                <a:ln>
                  <a:solidFill>
                    <a:schemeClr val="tx2">
                      <a:lumMod val="60000"/>
                      <a:lumOff val="40000"/>
                    </a:schemeClr>
                  </a:solidFill>
                </a:ln>
              </a:defRPr>
            </a:pPr>
            <a:endParaRPr lang="ar-SA"/>
          </a:p>
        </c:txPr>
        <c:crossAx val="133554560"/>
        <c:crosses val="max"/>
        <c:crossBetween val="between"/>
      </c:valAx>
      <c:catAx>
        <c:axId val="133554560"/>
        <c:scaling>
          <c:orientation val="minMax"/>
        </c:scaling>
        <c:delete val="1"/>
        <c:axPos val="b"/>
        <c:numFmt formatCode="General" sourceLinked="1"/>
        <c:majorTickMark val="out"/>
        <c:minorTickMark val="none"/>
        <c:tickLblPos val="none"/>
        <c:crossAx val="133507328"/>
        <c:crosses val="autoZero"/>
        <c:auto val="1"/>
        <c:lblAlgn val="ctr"/>
        <c:lblOffset val="100"/>
        <c:noMultiLvlLbl val="0"/>
      </c:catAx>
    </c:plotArea>
    <c:legend>
      <c:legendPos val="b"/>
      <c:overlay val="0"/>
      <c:txPr>
        <a:bodyPr/>
        <a:lstStyle/>
        <a:p>
          <a:pPr>
            <a:defRPr>
              <a:ln>
                <a:solidFill>
                  <a:sysClr val="windowText" lastClr="000000"/>
                </a:solidFill>
              </a:ln>
            </a:defRPr>
          </a:pPr>
          <a:endParaRPr lang="ar-SA"/>
        </a:p>
      </c:txPr>
    </c:legend>
    <c:plotVisOnly val="1"/>
    <c:dispBlanksAs val="gap"/>
    <c:showDLblsOverMax val="0"/>
  </c:chart>
  <c:spPr>
    <a:ln w="25400">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1"/>
          <c:order val="1"/>
          <c:tx>
            <c:strRef>
              <c:f>[ALL.xlsx]Sheet2!$K$2</c:f>
              <c:strCache>
                <c:ptCount val="1"/>
                <c:pt idx="0">
                  <c:v>GAT</c:v>
                </c:pt>
              </c:strCache>
            </c:strRef>
          </c:tx>
          <c:invertIfNegative val="0"/>
          <c:cat>
            <c:numRef>
              <c:f>[ALL.xlsx]Sheet2!$A$3:$A$27</c:f>
              <c:numCache>
                <c:formatCode>General</c:formatCode>
                <c:ptCount val="25"/>
                <c:pt idx="0">
                  <c:v>95.2</c:v>
                </c:pt>
                <c:pt idx="1">
                  <c:v>95.4</c:v>
                </c:pt>
                <c:pt idx="2">
                  <c:v>95.6</c:v>
                </c:pt>
                <c:pt idx="3">
                  <c:v>95.8</c:v>
                </c:pt>
                <c:pt idx="4">
                  <c:v>96</c:v>
                </c:pt>
                <c:pt idx="5">
                  <c:v>96.2</c:v>
                </c:pt>
                <c:pt idx="6">
                  <c:v>96.4</c:v>
                </c:pt>
                <c:pt idx="7">
                  <c:v>96.6</c:v>
                </c:pt>
                <c:pt idx="8">
                  <c:v>96.8</c:v>
                </c:pt>
                <c:pt idx="9">
                  <c:v>97</c:v>
                </c:pt>
                <c:pt idx="10">
                  <c:v>97.2</c:v>
                </c:pt>
                <c:pt idx="11">
                  <c:v>97.4</c:v>
                </c:pt>
                <c:pt idx="12">
                  <c:v>97.6</c:v>
                </c:pt>
                <c:pt idx="13">
                  <c:v>97.8</c:v>
                </c:pt>
                <c:pt idx="14">
                  <c:v>98</c:v>
                </c:pt>
                <c:pt idx="15">
                  <c:v>98.2</c:v>
                </c:pt>
                <c:pt idx="16">
                  <c:v>98.4</c:v>
                </c:pt>
                <c:pt idx="17">
                  <c:v>98.600000000000094</c:v>
                </c:pt>
                <c:pt idx="18">
                  <c:v>98.800000000000097</c:v>
                </c:pt>
                <c:pt idx="19">
                  <c:v>99.000000000000099</c:v>
                </c:pt>
                <c:pt idx="20">
                  <c:v>99.200000000000102</c:v>
                </c:pt>
                <c:pt idx="21">
                  <c:v>99.400000000000105</c:v>
                </c:pt>
                <c:pt idx="22">
                  <c:v>99.600000000000094</c:v>
                </c:pt>
                <c:pt idx="23">
                  <c:v>99.800000000000097</c:v>
                </c:pt>
                <c:pt idx="24">
                  <c:v>100</c:v>
                </c:pt>
              </c:numCache>
            </c:numRef>
          </c:cat>
          <c:val>
            <c:numRef>
              <c:f>[ALL.xlsx]Sheet2!$K$3:$K$27</c:f>
              <c:numCache>
                <c:formatCode>General</c:formatCode>
                <c:ptCount val="25"/>
                <c:pt idx="0">
                  <c:v>76.30088495575221</c:v>
                </c:pt>
                <c:pt idx="1">
                  <c:v>75.137254901960787</c:v>
                </c:pt>
                <c:pt idx="2">
                  <c:v>77.766666666666666</c:v>
                </c:pt>
                <c:pt idx="3">
                  <c:v>76.446153846153848</c:v>
                </c:pt>
                <c:pt idx="4">
                  <c:v>78.013698630136986</c:v>
                </c:pt>
                <c:pt idx="5">
                  <c:v>77.338709677419359</c:v>
                </c:pt>
                <c:pt idx="6">
                  <c:v>79.115942028985501</c:v>
                </c:pt>
                <c:pt idx="7">
                  <c:v>79.746987951807228</c:v>
                </c:pt>
                <c:pt idx="8">
                  <c:v>80.45</c:v>
                </c:pt>
                <c:pt idx="9">
                  <c:v>77.776470588235298</c:v>
                </c:pt>
                <c:pt idx="10">
                  <c:v>79.243902439024396</c:v>
                </c:pt>
                <c:pt idx="11">
                  <c:v>77.391304347826093</c:v>
                </c:pt>
                <c:pt idx="12">
                  <c:v>77.65384615384616</c:v>
                </c:pt>
                <c:pt idx="13">
                  <c:v>81.558823529411768</c:v>
                </c:pt>
                <c:pt idx="14">
                  <c:v>76.680555555555557</c:v>
                </c:pt>
                <c:pt idx="15">
                  <c:v>80.015384615384619</c:v>
                </c:pt>
                <c:pt idx="16">
                  <c:v>77.746031746031747</c:v>
                </c:pt>
                <c:pt idx="17">
                  <c:v>80.596491228070178</c:v>
                </c:pt>
                <c:pt idx="18">
                  <c:v>80.577464788732399</c:v>
                </c:pt>
                <c:pt idx="19">
                  <c:v>78.459999999999994</c:v>
                </c:pt>
                <c:pt idx="20">
                  <c:v>82.357142857142861</c:v>
                </c:pt>
                <c:pt idx="21">
                  <c:v>84.181818181818187</c:v>
                </c:pt>
                <c:pt idx="22">
                  <c:v>83.793103448275858</c:v>
                </c:pt>
                <c:pt idx="23">
                  <c:v>84.680851063829792</c:v>
                </c:pt>
                <c:pt idx="24">
                  <c:v>84.975609756097555</c:v>
                </c:pt>
              </c:numCache>
            </c:numRef>
          </c:val>
        </c:ser>
        <c:dLbls>
          <c:showLegendKey val="0"/>
          <c:showVal val="0"/>
          <c:showCatName val="0"/>
          <c:showSerName val="0"/>
          <c:showPercent val="0"/>
          <c:showBubbleSize val="0"/>
        </c:dLbls>
        <c:gapWidth val="150"/>
        <c:axId val="151212416"/>
        <c:axId val="151214336"/>
      </c:barChart>
      <c:lineChart>
        <c:grouping val="standard"/>
        <c:varyColors val="0"/>
        <c:ser>
          <c:idx val="0"/>
          <c:order val="0"/>
          <c:tx>
            <c:strRef>
              <c:f>[ALL.xlsx]Sheet2!$J$2</c:f>
              <c:strCache>
                <c:ptCount val="1"/>
                <c:pt idx="0">
                  <c:v>FYGPA</c:v>
                </c:pt>
              </c:strCache>
            </c:strRef>
          </c:tx>
          <c:spPr>
            <a:ln w="19050"/>
          </c:spPr>
          <c:marker>
            <c:symbol val="circle"/>
            <c:size val="5"/>
            <c:spPr>
              <a:solidFill>
                <a:srgbClr val="1F497D">
                  <a:lumMod val="60000"/>
                  <a:lumOff val="40000"/>
                </a:srgbClr>
              </a:solidFill>
              <a:ln w="19050"/>
            </c:spPr>
          </c:marker>
          <c:cat>
            <c:numRef>
              <c:f>[ALL.xlsx]Sheet2!$A$3:$A$27</c:f>
              <c:numCache>
                <c:formatCode>General</c:formatCode>
                <c:ptCount val="25"/>
                <c:pt idx="0">
                  <c:v>95.2</c:v>
                </c:pt>
                <c:pt idx="1">
                  <c:v>95.4</c:v>
                </c:pt>
                <c:pt idx="2">
                  <c:v>95.6</c:v>
                </c:pt>
                <c:pt idx="3">
                  <c:v>95.8</c:v>
                </c:pt>
                <c:pt idx="4">
                  <c:v>96</c:v>
                </c:pt>
                <c:pt idx="5">
                  <c:v>96.2</c:v>
                </c:pt>
                <c:pt idx="6">
                  <c:v>96.4</c:v>
                </c:pt>
                <c:pt idx="7">
                  <c:v>96.6</c:v>
                </c:pt>
                <c:pt idx="8">
                  <c:v>96.8</c:v>
                </c:pt>
                <c:pt idx="9">
                  <c:v>97</c:v>
                </c:pt>
                <c:pt idx="10">
                  <c:v>97.2</c:v>
                </c:pt>
                <c:pt idx="11">
                  <c:v>97.4</c:v>
                </c:pt>
                <c:pt idx="12">
                  <c:v>97.6</c:v>
                </c:pt>
                <c:pt idx="13">
                  <c:v>97.8</c:v>
                </c:pt>
                <c:pt idx="14">
                  <c:v>98</c:v>
                </c:pt>
                <c:pt idx="15">
                  <c:v>98.2</c:v>
                </c:pt>
                <c:pt idx="16">
                  <c:v>98.4</c:v>
                </c:pt>
                <c:pt idx="17">
                  <c:v>98.600000000000094</c:v>
                </c:pt>
                <c:pt idx="18">
                  <c:v>98.800000000000097</c:v>
                </c:pt>
                <c:pt idx="19">
                  <c:v>99.000000000000099</c:v>
                </c:pt>
                <c:pt idx="20">
                  <c:v>99.200000000000102</c:v>
                </c:pt>
                <c:pt idx="21">
                  <c:v>99.400000000000105</c:v>
                </c:pt>
                <c:pt idx="22">
                  <c:v>99.600000000000094</c:v>
                </c:pt>
                <c:pt idx="23">
                  <c:v>99.800000000000097</c:v>
                </c:pt>
                <c:pt idx="24">
                  <c:v>100</c:v>
                </c:pt>
              </c:numCache>
            </c:numRef>
          </c:cat>
          <c:val>
            <c:numRef>
              <c:f>[ALL.xlsx]Sheet2!$J$3:$J$27</c:f>
              <c:numCache>
                <c:formatCode>General</c:formatCode>
                <c:ptCount val="25"/>
                <c:pt idx="0">
                  <c:v>3.4463716814159286</c:v>
                </c:pt>
                <c:pt idx="1">
                  <c:v>3.5438461538461543</c:v>
                </c:pt>
                <c:pt idx="2">
                  <c:v>3.6433333333333322</c:v>
                </c:pt>
                <c:pt idx="3">
                  <c:v>3.7230769230769232</c:v>
                </c:pt>
                <c:pt idx="4">
                  <c:v>3.7706849315068469</c:v>
                </c:pt>
                <c:pt idx="5">
                  <c:v>3.7935483870967741</c:v>
                </c:pt>
                <c:pt idx="6">
                  <c:v>3.8262318840579694</c:v>
                </c:pt>
                <c:pt idx="7">
                  <c:v>3.8266265060240947</c:v>
                </c:pt>
                <c:pt idx="8">
                  <c:v>3.7310000000000008</c:v>
                </c:pt>
                <c:pt idx="9">
                  <c:v>3.7209411764705904</c:v>
                </c:pt>
                <c:pt idx="10">
                  <c:v>3.8356097560975613</c:v>
                </c:pt>
                <c:pt idx="11">
                  <c:v>3.5814492753623179</c:v>
                </c:pt>
                <c:pt idx="12">
                  <c:v>3.7488461538461535</c:v>
                </c:pt>
                <c:pt idx="13">
                  <c:v>3.9025352112676064</c:v>
                </c:pt>
                <c:pt idx="14">
                  <c:v>3.9888888888888863</c:v>
                </c:pt>
                <c:pt idx="15">
                  <c:v>3.9227692307692297</c:v>
                </c:pt>
                <c:pt idx="16">
                  <c:v>3.8139682539682549</c:v>
                </c:pt>
                <c:pt idx="17">
                  <c:v>4.0435087719298251</c:v>
                </c:pt>
                <c:pt idx="18">
                  <c:v>3.9280281690140861</c:v>
                </c:pt>
                <c:pt idx="19">
                  <c:v>3.8927999999999998</c:v>
                </c:pt>
                <c:pt idx="20">
                  <c:v>3.9801785714285711</c:v>
                </c:pt>
                <c:pt idx="21">
                  <c:v>4.3063636363636357</c:v>
                </c:pt>
                <c:pt idx="22">
                  <c:v>4.3227586206896556</c:v>
                </c:pt>
                <c:pt idx="23">
                  <c:v>4.3053191489361717</c:v>
                </c:pt>
                <c:pt idx="24">
                  <c:v>4.1982926829268274</c:v>
                </c:pt>
              </c:numCache>
            </c:numRef>
          </c:val>
          <c:smooth val="0"/>
        </c:ser>
        <c:dLbls>
          <c:showLegendKey val="0"/>
          <c:showVal val="0"/>
          <c:showCatName val="0"/>
          <c:showSerName val="0"/>
          <c:showPercent val="0"/>
          <c:showBubbleSize val="0"/>
        </c:dLbls>
        <c:marker val="1"/>
        <c:smooth val="0"/>
        <c:axId val="151218432"/>
        <c:axId val="151216512"/>
      </c:lineChart>
      <c:catAx>
        <c:axId val="151212416"/>
        <c:scaling>
          <c:orientation val="minMax"/>
        </c:scaling>
        <c:delete val="0"/>
        <c:axPos val="b"/>
        <c:numFmt formatCode="#,##0.0" sourceLinked="0"/>
        <c:majorTickMark val="out"/>
        <c:minorTickMark val="none"/>
        <c:tickLblPos val="nextTo"/>
        <c:txPr>
          <a:bodyPr/>
          <a:lstStyle/>
          <a:p>
            <a:pPr>
              <a:defRPr>
                <a:ln>
                  <a:solidFill>
                    <a:sysClr val="windowText" lastClr="000000"/>
                  </a:solidFill>
                </a:ln>
              </a:defRPr>
            </a:pPr>
            <a:endParaRPr lang="ar-SA"/>
          </a:p>
        </c:txPr>
        <c:crossAx val="151214336"/>
        <c:crosses val="autoZero"/>
        <c:auto val="1"/>
        <c:lblAlgn val="ctr"/>
        <c:lblOffset val="100"/>
        <c:noMultiLvlLbl val="0"/>
      </c:catAx>
      <c:valAx>
        <c:axId val="151214336"/>
        <c:scaling>
          <c:orientation val="minMax"/>
          <c:max val="90"/>
          <c:min val="70"/>
        </c:scaling>
        <c:delete val="0"/>
        <c:axPos val="l"/>
        <c:title>
          <c:tx>
            <c:rich>
              <a:bodyPr rot="0" vert="wordArtVert"/>
              <a:lstStyle/>
              <a:p>
                <a:pPr>
                  <a:defRPr/>
                </a:pPr>
                <a:r>
                  <a:rPr lang="en-US"/>
                  <a:t>GAT</a:t>
                </a:r>
              </a:p>
            </c:rich>
          </c:tx>
          <c:overlay val="0"/>
        </c:title>
        <c:numFmt formatCode="General" sourceLinked="1"/>
        <c:majorTickMark val="out"/>
        <c:minorTickMark val="none"/>
        <c:tickLblPos val="nextTo"/>
        <c:txPr>
          <a:bodyPr/>
          <a:lstStyle/>
          <a:p>
            <a:pPr>
              <a:defRPr>
                <a:ln>
                  <a:solidFill>
                    <a:srgbClr val="C00000"/>
                  </a:solidFill>
                </a:ln>
              </a:defRPr>
            </a:pPr>
            <a:endParaRPr lang="ar-SA"/>
          </a:p>
        </c:txPr>
        <c:crossAx val="151212416"/>
        <c:crosses val="autoZero"/>
        <c:crossBetween val="between"/>
      </c:valAx>
      <c:valAx>
        <c:axId val="151216512"/>
        <c:scaling>
          <c:orientation val="minMax"/>
          <c:min val="3.3"/>
        </c:scaling>
        <c:delete val="0"/>
        <c:axPos val="r"/>
        <c:title>
          <c:tx>
            <c:rich>
              <a:bodyPr rot="0" vert="wordArtVert"/>
              <a:lstStyle/>
              <a:p>
                <a:pPr>
                  <a:defRPr/>
                </a:pPr>
                <a:r>
                  <a:rPr lang="en-US"/>
                  <a:t>FYGPA</a:t>
                </a:r>
              </a:p>
            </c:rich>
          </c:tx>
          <c:overlay val="0"/>
        </c:title>
        <c:numFmt formatCode="General" sourceLinked="1"/>
        <c:majorTickMark val="out"/>
        <c:minorTickMark val="none"/>
        <c:tickLblPos val="nextTo"/>
        <c:txPr>
          <a:bodyPr/>
          <a:lstStyle/>
          <a:p>
            <a:pPr>
              <a:defRPr>
                <a:ln>
                  <a:solidFill>
                    <a:schemeClr val="tx2">
                      <a:lumMod val="60000"/>
                      <a:lumOff val="40000"/>
                    </a:schemeClr>
                  </a:solidFill>
                </a:ln>
              </a:defRPr>
            </a:pPr>
            <a:endParaRPr lang="ar-SA"/>
          </a:p>
        </c:txPr>
        <c:crossAx val="151218432"/>
        <c:crosses val="max"/>
        <c:crossBetween val="between"/>
      </c:valAx>
      <c:catAx>
        <c:axId val="151218432"/>
        <c:scaling>
          <c:orientation val="minMax"/>
        </c:scaling>
        <c:delete val="1"/>
        <c:axPos val="b"/>
        <c:numFmt formatCode="General" sourceLinked="1"/>
        <c:majorTickMark val="out"/>
        <c:minorTickMark val="none"/>
        <c:tickLblPos val="none"/>
        <c:crossAx val="151216512"/>
        <c:crosses val="autoZero"/>
        <c:auto val="1"/>
        <c:lblAlgn val="ctr"/>
        <c:lblOffset val="100"/>
        <c:noMultiLvlLbl val="0"/>
      </c:catAx>
      <c:spPr>
        <a:solidFill>
          <a:schemeClr val="bg1">
            <a:lumMod val="95000"/>
          </a:schemeClr>
        </a:solidFill>
      </c:spPr>
    </c:plotArea>
    <c:legend>
      <c:legendPos val="b"/>
      <c:overlay val="0"/>
      <c:txPr>
        <a:bodyPr/>
        <a:lstStyle/>
        <a:p>
          <a:pPr>
            <a:defRPr>
              <a:ln>
                <a:solidFill>
                  <a:sysClr val="windowText" lastClr="000000"/>
                </a:solidFill>
              </a:ln>
            </a:defRPr>
          </a:pPr>
          <a:endParaRPr lang="ar-SA"/>
        </a:p>
      </c:txPr>
    </c:legend>
    <c:plotVisOnly val="1"/>
    <c:dispBlanksAs val="gap"/>
    <c:showDLblsOverMax val="0"/>
  </c:chart>
  <c:spPr>
    <a:ln w="25400">
      <a:solidFill>
        <a:sysClr val="windowText" lastClr="000000"/>
      </a:solid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1"/>
          <c:order val="1"/>
          <c:tx>
            <c:strRef>
              <c:f>[ALL.xlsx]Sheet2!$O$2</c:f>
              <c:strCache>
                <c:ptCount val="1"/>
                <c:pt idx="0">
                  <c:v>GAT</c:v>
                </c:pt>
              </c:strCache>
            </c:strRef>
          </c:tx>
          <c:invertIfNegative val="0"/>
          <c:cat>
            <c:numRef>
              <c:f>[ALL.xlsx]Sheet2!$A$3:$A$27</c:f>
              <c:numCache>
                <c:formatCode>General</c:formatCode>
                <c:ptCount val="25"/>
                <c:pt idx="0">
                  <c:v>95.2</c:v>
                </c:pt>
                <c:pt idx="1">
                  <c:v>95.4</c:v>
                </c:pt>
                <c:pt idx="2">
                  <c:v>95.6</c:v>
                </c:pt>
                <c:pt idx="3">
                  <c:v>95.8</c:v>
                </c:pt>
                <c:pt idx="4">
                  <c:v>96</c:v>
                </c:pt>
                <c:pt idx="5">
                  <c:v>96.2</c:v>
                </c:pt>
                <c:pt idx="6">
                  <c:v>96.4</c:v>
                </c:pt>
                <c:pt idx="7">
                  <c:v>96.6</c:v>
                </c:pt>
                <c:pt idx="8">
                  <c:v>96.8</c:v>
                </c:pt>
                <c:pt idx="9">
                  <c:v>97</c:v>
                </c:pt>
                <c:pt idx="10">
                  <c:v>97.2</c:v>
                </c:pt>
                <c:pt idx="11">
                  <c:v>97.4</c:v>
                </c:pt>
                <c:pt idx="12">
                  <c:v>97.6</c:v>
                </c:pt>
                <c:pt idx="13">
                  <c:v>97.8</c:v>
                </c:pt>
                <c:pt idx="14">
                  <c:v>98</c:v>
                </c:pt>
                <c:pt idx="15">
                  <c:v>98.2</c:v>
                </c:pt>
                <c:pt idx="16">
                  <c:v>98.4</c:v>
                </c:pt>
                <c:pt idx="17">
                  <c:v>98.600000000000094</c:v>
                </c:pt>
                <c:pt idx="18">
                  <c:v>98.800000000000097</c:v>
                </c:pt>
                <c:pt idx="19">
                  <c:v>99.000000000000099</c:v>
                </c:pt>
                <c:pt idx="20">
                  <c:v>99.200000000000102</c:v>
                </c:pt>
                <c:pt idx="21">
                  <c:v>99.400000000000105</c:v>
                </c:pt>
                <c:pt idx="22">
                  <c:v>99.600000000000094</c:v>
                </c:pt>
                <c:pt idx="23">
                  <c:v>99.800000000000097</c:v>
                </c:pt>
                <c:pt idx="24">
                  <c:v>100</c:v>
                </c:pt>
              </c:numCache>
            </c:numRef>
          </c:cat>
          <c:val>
            <c:numRef>
              <c:f>[ALL.xlsx]Sheet2!$O$3:$O$27</c:f>
              <c:numCache>
                <c:formatCode>General</c:formatCode>
                <c:ptCount val="25"/>
                <c:pt idx="0">
                  <c:v>85.214285714285708</c:v>
                </c:pt>
                <c:pt idx="1">
                  <c:v>84.208333333333329</c:v>
                </c:pt>
                <c:pt idx="2">
                  <c:v>87.233333333333334</c:v>
                </c:pt>
                <c:pt idx="3">
                  <c:v>85.941176470588232</c:v>
                </c:pt>
                <c:pt idx="4">
                  <c:v>84.81481481481481</c:v>
                </c:pt>
                <c:pt idx="5">
                  <c:v>84.973684210526315</c:v>
                </c:pt>
                <c:pt idx="6">
                  <c:v>84.542857142857144</c:v>
                </c:pt>
                <c:pt idx="7">
                  <c:v>84.954545454545453</c:v>
                </c:pt>
                <c:pt idx="8">
                  <c:v>85.8</c:v>
                </c:pt>
                <c:pt idx="9">
                  <c:v>85.304347826086953</c:v>
                </c:pt>
                <c:pt idx="10">
                  <c:v>85.61702127659575</c:v>
                </c:pt>
                <c:pt idx="11">
                  <c:v>85.152173913043484</c:v>
                </c:pt>
                <c:pt idx="12">
                  <c:v>84.890909090909091</c:v>
                </c:pt>
                <c:pt idx="13">
                  <c:v>84.75555555555556</c:v>
                </c:pt>
                <c:pt idx="14">
                  <c:v>85.451612903225808</c:v>
                </c:pt>
                <c:pt idx="15">
                  <c:v>85.535714285714292</c:v>
                </c:pt>
                <c:pt idx="16">
                  <c:v>85.840579710144922</c:v>
                </c:pt>
                <c:pt idx="17">
                  <c:v>86.107692307692304</c:v>
                </c:pt>
                <c:pt idx="18">
                  <c:v>85.871794871794876</c:v>
                </c:pt>
                <c:pt idx="19">
                  <c:v>86.102941176470594</c:v>
                </c:pt>
                <c:pt idx="20">
                  <c:v>86.417721518987335</c:v>
                </c:pt>
                <c:pt idx="21">
                  <c:v>87.033707865168537</c:v>
                </c:pt>
                <c:pt idx="22">
                  <c:v>86.929411764705875</c:v>
                </c:pt>
                <c:pt idx="23">
                  <c:v>87.479166666666671</c:v>
                </c:pt>
                <c:pt idx="24">
                  <c:v>88.584745762711862</c:v>
                </c:pt>
              </c:numCache>
            </c:numRef>
          </c:val>
        </c:ser>
        <c:dLbls>
          <c:showLegendKey val="0"/>
          <c:showVal val="0"/>
          <c:showCatName val="0"/>
          <c:showSerName val="0"/>
          <c:showPercent val="0"/>
          <c:showBubbleSize val="0"/>
        </c:dLbls>
        <c:gapWidth val="150"/>
        <c:axId val="166653952"/>
        <c:axId val="166655872"/>
      </c:barChart>
      <c:lineChart>
        <c:grouping val="standard"/>
        <c:varyColors val="0"/>
        <c:ser>
          <c:idx val="0"/>
          <c:order val="0"/>
          <c:tx>
            <c:strRef>
              <c:f>[ALL.xlsx]Sheet2!$N$2</c:f>
              <c:strCache>
                <c:ptCount val="1"/>
                <c:pt idx="0">
                  <c:v>FYGPA</c:v>
                </c:pt>
              </c:strCache>
            </c:strRef>
          </c:tx>
          <c:spPr>
            <a:ln w="19050"/>
          </c:spPr>
          <c:marker>
            <c:symbol val="circle"/>
            <c:size val="5"/>
            <c:spPr>
              <a:solidFill>
                <a:srgbClr val="1F497D">
                  <a:lumMod val="60000"/>
                  <a:lumOff val="40000"/>
                </a:srgbClr>
              </a:solidFill>
              <a:ln w="19050"/>
            </c:spPr>
          </c:marker>
          <c:cat>
            <c:numRef>
              <c:f>[ALL.xlsx]Sheet2!$A$3:$A$27</c:f>
              <c:numCache>
                <c:formatCode>General</c:formatCode>
                <c:ptCount val="25"/>
                <c:pt idx="0">
                  <c:v>95.2</c:v>
                </c:pt>
                <c:pt idx="1">
                  <c:v>95.4</c:v>
                </c:pt>
                <c:pt idx="2">
                  <c:v>95.6</c:v>
                </c:pt>
                <c:pt idx="3">
                  <c:v>95.8</c:v>
                </c:pt>
                <c:pt idx="4">
                  <c:v>96</c:v>
                </c:pt>
                <c:pt idx="5">
                  <c:v>96.2</c:v>
                </c:pt>
                <c:pt idx="6">
                  <c:v>96.4</c:v>
                </c:pt>
                <c:pt idx="7">
                  <c:v>96.6</c:v>
                </c:pt>
                <c:pt idx="8">
                  <c:v>96.8</c:v>
                </c:pt>
                <c:pt idx="9">
                  <c:v>97</c:v>
                </c:pt>
                <c:pt idx="10">
                  <c:v>97.2</c:v>
                </c:pt>
                <c:pt idx="11">
                  <c:v>97.4</c:v>
                </c:pt>
                <c:pt idx="12">
                  <c:v>97.6</c:v>
                </c:pt>
                <c:pt idx="13">
                  <c:v>97.8</c:v>
                </c:pt>
                <c:pt idx="14">
                  <c:v>98</c:v>
                </c:pt>
                <c:pt idx="15">
                  <c:v>98.2</c:v>
                </c:pt>
                <c:pt idx="16">
                  <c:v>98.4</c:v>
                </c:pt>
                <c:pt idx="17">
                  <c:v>98.600000000000094</c:v>
                </c:pt>
                <c:pt idx="18">
                  <c:v>98.800000000000097</c:v>
                </c:pt>
                <c:pt idx="19">
                  <c:v>99.000000000000099</c:v>
                </c:pt>
                <c:pt idx="20">
                  <c:v>99.200000000000102</c:v>
                </c:pt>
                <c:pt idx="21">
                  <c:v>99.400000000000105</c:v>
                </c:pt>
                <c:pt idx="22">
                  <c:v>99.600000000000094</c:v>
                </c:pt>
                <c:pt idx="23">
                  <c:v>99.800000000000097</c:v>
                </c:pt>
                <c:pt idx="24">
                  <c:v>100</c:v>
                </c:pt>
              </c:numCache>
            </c:numRef>
          </c:cat>
          <c:val>
            <c:numRef>
              <c:f>[ALL.xlsx]Sheet2!$N$3:$N$27</c:f>
              <c:numCache>
                <c:formatCode>General</c:formatCode>
                <c:ptCount val="25"/>
                <c:pt idx="0">
                  <c:v>3.1401052631578947</c:v>
                </c:pt>
                <c:pt idx="1">
                  <c:v>2.7839999999999998</c:v>
                </c:pt>
                <c:pt idx="2">
                  <c:v>3.6279047619047624</c:v>
                </c:pt>
                <c:pt idx="3">
                  <c:v>3.3897200000000005</c:v>
                </c:pt>
                <c:pt idx="4">
                  <c:v>3.3918235294117642</c:v>
                </c:pt>
                <c:pt idx="5">
                  <c:v>3.3304782608695644</c:v>
                </c:pt>
                <c:pt idx="6">
                  <c:v>3.2400416666666678</c:v>
                </c:pt>
                <c:pt idx="7">
                  <c:v>3.3844444444444446</c:v>
                </c:pt>
                <c:pt idx="8">
                  <c:v>3.3420370370370374</c:v>
                </c:pt>
                <c:pt idx="9">
                  <c:v>3.2504516129032259</c:v>
                </c:pt>
                <c:pt idx="10">
                  <c:v>3.4019310344827587</c:v>
                </c:pt>
                <c:pt idx="11">
                  <c:v>3.2080277777777781</c:v>
                </c:pt>
                <c:pt idx="12">
                  <c:v>3.4051052631578949</c:v>
                </c:pt>
                <c:pt idx="13">
                  <c:v>3.3741612903225802</c:v>
                </c:pt>
                <c:pt idx="14">
                  <c:v>3.5939285714285711</c:v>
                </c:pt>
                <c:pt idx="15">
                  <c:v>3.5060000000000002</c:v>
                </c:pt>
                <c:pt idx="16">
                  <c:v>3.4842264150943389</c:v>
                </c:pt>
                <c:pt idx="17">
                  <c:v>3.7032592592592599</c:v>
                </c:pt>
                <c:pt idx="18">
                  <c:v>3.6861724137931029</c:v>
                </c:pt>
                <c:pt idx="19">
                  <c:v>3.7281454545454551</c:v>
                </c:pt>
                <c:pt idx="20">
                  <c:v>3.7996825396825384</c:v>
                </c:pt>
                <c:pt idx="21">
                  <c:v>3.7268767123287665</c:v>
                </c:pt>
                <c:pt idx="22">
                  <c:v>3.8668026315789481</c:v>
                </c:pt>
                <c:pt idx="23">
                  <c:v>3.896146341463413</c:v>
                </c:pt>
                <c:pt idx="24">
                  <c:v>3.9397619047619048</c:v>
                </c:pt>
              </c:numCache>
            </c:numRef>
          </c:val>
          <c:smooth val="0"/>
        </c:ser>
        <c:dLbls>
          <c:showLegendKey val="0"/>
          <c:showVal val="0"/>
          <c:showCatName val="0"/>
          <c:showSerName val="0"/>
          <c:showPercent val="0"/>
          <c:showBubbleSize val="0"/>
        </c:dLbls>
        <c:marker val="1"/>
        <c:smooth val="0"/>
        <c:axId val="222996352"/>
        <c:axId val="222994432"/>
      </c:lineChart>
      <c:catAx>
        <c:axId val="166653952"/>
        <c:scaling>
          <c:orientation val="minMax"/>
        </c:scaling>
        <c:delete val="0"/>
        <c:axPos val="b"/>
        <c:numFmt formatCode="#,##0.0" sourceLinked="0"/>
        <c:majorTickMark val="out"/>
        <c:minorTickMark val="none"/>
        <c:tickLblPos val="nextTo"/>
        <c:txPr>
          <a:bodyPr/>
          <a:lstStyle/>
          <a:p>
            <a:pPr>
              <a:defRPr>
                <a:ln>
                  <a:solidFill>
                    <a:sysClr val="windowText" lastClr="000000"/>
                  </a:solidFill>
                </a:ln>
              </a:defRPr>
            </a:pPr>
            <a:endParaRPr lang="ar-SA"/>
          </a:p>
        </c:txPr>
        <c:crossAx val="166655872"/>
        <c:crosses val="autoZero"/>
        <c:auto val="1"/>
        <c:lblAlgn val="ctr"/>
        <c:lblOffset val="100"/>
        <c:noMultiLvlLbl val="0"/>
      </c:catAx>
      <c:valAx>
        <c:axId val="166655872"/>
        <c:scaling>
          <c:orientation val="minMax"/>
          <c:max val="90"/>
          <c:min val="80"/>
        </c:scaling>
        <c:delete val="0"/>
        <c:axPos val="l"/>
        <c:title>
          <c:tx>
            <c:rich>
              <a:bodyPr rot="0" vert="wordArtVert"/>
              <a:lstStyle/>
              <a:p>
                <a:pPr>
                  <a:defRPr/>
                </a:pPr>
                <a:r>
                  <a:rPr lang="en-US"/>
                  <a:t>GAT</a:t>
                </a:r>
              </a:p>
            </c:rich>
          </c:tx>
          <c:overlay val="0"/>
        </c:title>
        <c:numFmt formatCode="General" sourceLinked="1"/>
        <c:majorTickMark val="out"/>
        <c:minorTickMark val="none"/>
        <c:tickLblPos val="nextTo"/>
        <c:txPr>
          <a:bodyPr/>
          <a:lstStyle/>
          <a:p>
            <a:pPr>
              <a:defRPr>
                <a:ln>
                  <a:solidFill>
                    <a:srgbClr val="C00000"/>
                  </a:solidFill>
                </a:ln>
              </a:defRPr>
            </a:pPr>
            <a:endParaRPr lang="ar-SA"/>
          </a:p>
        </c:txPr>
        <c:crossAx val="166653952"/>
        <c:crosses val="autoZero"/>
        <c:crossBetween val="between"/>
      </c:valAx>
      <c:valAx>
        <c:axId val="222994432"/>
        <c:scaling>
          <c:orientation val="minMax"/>
          <c:min val="2.5"/>
        </c:scaling>
        <c:delete val="0"/>
        <c:axPos val="r"/>
        <c:title>
          <c:tx>
            <c:rich>
              <a:bodyPr rot="0" vert="wordArtVert"/>
              <a:lstStyle/>
              <a:p>
                <a:pPr>
                  <a:defRPr/>
                </a:pPr>
                <a:r>
                  <a:rPr lang="en-US"/>
                  <a:t>FYGPA</a:t>
                </a:r>
              </a:p>
            </c:rich>
          </c:tx>
          <c:overlay val="0"/>
        </c:title>
        <c:numFmt formatCode="General" sourceLinked="1"/>
        <c:majorTickMark val="out"/>
        <c:minorTickMark val="none"/>
        <c:tickLblPos val="nextTo"/>
        <c:txPr>
          <a:bodyPr/>
          <a:lstStyle/>
          <a:p>
            <a:pPr>
              <a:defRPr>
                <a:ln>
                  <a:solidFill>
                    <a:schemeClr val="tx2">
                      <a:lumMod val="60000"/>
                      <a:lumOff val="40000"/>
                    </a:schemeClr>
                  </a:solidFill>
                </a:ln>
              </a:defRPr>
            </a:pPr>
            <a:endParaRPr lang="ar-SA"/>
          </a:p>
        </c:txPr>
        <c:crossAx val="222996352"/>
        <c:crosses val="max"/>
        <c:crossBetween val="between"/>
      </c:valAx>
      <c:catAx>
        <c:axId val="222996352"/>
        <c:scaling>
          <c:orientation val="minMax"/>
        </c:scaling>
        <c:delete val="1"/>
        <c:axPos val="b"/>
        <c:numFmt formatCode="General" sourceLinked="1"/>
        <c:majorTickMark val="out"/>
        <c:minorTickMark val="none"/>
        <c:tickLblPos val="none"/>
        <c:crossAx val="222994432"/>
        <c:crosses val="autoZero"/>
        <c:auto val="1"/>
        <c:lblAlgn val="ctr"/>
        <c:lblOffset val="100"/>
        <c:noMultiLvlLbl val="0"/>
      </c:catAx>
      <c:spPr>
        <a:solidFill>
          <a:schemeClr val="bg2"/>
        </a:solidFill>
      </c:spPr>
    </c:plotArea>
    <c:legend>
      <c:legendPos val="b"/>
      <c:overlay val="0"/>
      <c:txPr>
        <a:bodyPr/>
        <a:lstStyle/>
        <a:p>
          <a:pPr>
            <a:defRPr>
              <a:ln>
                <a:solidFill>
                  <a:sysClr val="windowText" lastClr="000000"/>
                </a:solidFill>
              </a:ln>
            </a:defRPr>
          </a:pPr>
          <a:endParaRPr lang="ar-SA"/>
        </a:p>
      </c:txPr>
    </c:legend>
    <c:plotVisOnly val="1"/>
    <c:dispBlanksAs val="gap"/>
    <c:showDLblsOverMax val="0"/>
  </c:chart>
  <c:spPr>
    <a:ln w="25400">
      <a:solidFill>
        <a:sysClr val="windowText" lastClr="000000"/>
      </a:solid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1"/>
          <c:order val="1"/>
          <c:tx>
            <c:strRef>
              <c:f>Sheet2!$S$2</c:f>
              <c:strCache>
                <c:ptCount val="1"/>
                <c:pt idx="0">
                  <c:v>GAT</c:v>
                </c:pt>
              </c:strCache>
            </c:strRef>
          </c:tx>
          <c:invertIfNegative val="0"/>
          <c:cat>
            <c:numRef>
              <c:f>Sheet2!$A$3:$A$27</c:f>
              <c:numCache>
                <c:formatCode>General</c:formatCode>
                <c:ptCount val="25"/>
                <c:pt idx="0">
                  <c:v>95.2</c:v>
                </c:pt>
                <c:pt idx="1">
                  <c:v>95.4</c:v>
                </c:pt>
                <c:pt idx="2">
                  <c:v>95.6</c:v>
                </c:pt>
                <c:pt idx="3">
                  <c:v>95.8</c:v>
                </c:pt>
                <c:pt idx="4">
                  <c:v>96</c:v>
                </c:pt>
                <c:pt idx="5">
                  <c:v>96.2</c:v>
                </c:pt>
                <c:pt idx="6">
                  <c:v>96.4</c:v>
                </c:pt>
                <c:pt idx="7">
                  <c:v>96.6</c:v>
                </c:pt>
                <c:pt idx="8">
                  <c:v>96.8</c:v>
                </c:pt>
                <c:pt idx="9">
                  <c:v>97</c:v>
                </c:pt>
                <c:pt idx="10">
                  <c:v>97.2</c:v>
                </c:pt>
                <c:pt idx="11">
                  <c:v>97.4</c:v>
                </c:pt>
                <c:pt idx="12">
                  <c:v>97.6</c:v>
                </c:pt>
                <c:pt idx="13">
                  <c:v>97.8</c:v>
                </c:pt>
                <c:pt idx="14">
                  <c:v>98</c:v>
                </c:pt>
                <c:pt idx="15">
                  <c:v>98.2</c:v>
                </c:pt>
                <c:pt idx="16">
                  <c:v>98.4</c:v>
                </c:pt>
                <c:pt idx="17">
                  <c:v>98.600000000000094</c:v>
                </c:pt>
                <c:pt idx="18">
                  <c:v>98.800000000000097</c:v>
                </c:pt>
                <c:pt idx="19">
                  <c:v>99.000000000000099</c:v>
                </c:pt>
                <c:pt idx="20">
                  <c:v>99.200000000000102</c:v>
                </c:pt>
                <c:pt idx="21">
                  <c:v>99.400000000000105</c:v>
                </c:pt>
                <c:pt idx="22">
                  <c:v>99.600000000000094</c:v>
                </c:pt>
                <c:pt idx="23">
                  <c:v>99.800000000000097</c:v>
                </c:pt>
                <c:pt idx="24">
                  <c:v>100</c:v>
                </c:pt>
              </c:numCache>
            </c:numRef>
          </c:cat>
          <c:val>
            <c:numRef>
              <c:f>Sheet2!$S$3:$S$27</c:f>
              <c:numCache>
                <c:formatCode>General</c:formatCode>
                <c:ptCount val="25"/>
                <c:pt idx="0">
                  <c:v>68.056603773584911</c:v>
                </c:pt>
                <c:pt idx="1">
                  <c:v>69.797752808988761</c:v>
                </c:pt>
                <c:pt idx="2">
                  <c:v>70.21052631578948</c:v>
                </c:pt>
                <c:pt idx="3">
                  <c:v>71.016949152542367</c:v>
                </c:pt>
                <c:pt idx="4">
                  <c:v>70.082191780821915</c:v>
                </c:pt>
                <c:pt idx="5">
                  <c:v>70.599999999999994</c:v>
                </c:pt>
                <c:pt idx="6">
                  <c:v>71.657534246575338</c:v>
                </c:pt>
                <c:pt idx="7">
                  <c:v>70.064102564102569</c:v>
                </c:pt>
                <c:pt idx="8">
                  <c:v>71.666666666666671</c:v>
                </c:pt>
                <c:pt idx="9">
                  <c:v>72.909090909090907</c:v>
                </c:pt>
                <c:pt idx="10">
                  <c:v>71.191176470588232</c:v>
                </c:pt>
                <c:pt idx="11">
                  <c:v>72.835294117647052</c:v>
                </c:pt>
                <c:pt idx="12">
                  <c:v>71.523809523809518</c:v>
                </c:pt>
                <c:pt idx="13">
                  <c:v>71.043478260869563</c:v>
                </c:pt>
                <c:pt idx="14">
                  <c:v>72.5421686746988</c:v>
                </c:pt>
                <c:pt idx="15">
                  <c:v>73.308510638297875</c:v>
                </c:pt>
                <c:pt idx="16">
                  <c:v>72.553398058252426</c:v>
                </c:pt>
                <c:pt idx="17">
                  <c:v>72.601941747572809</c:v>
                </c:pt>
                <c:pt idx="18">
                  <c:v>74.402298850574709</c:v>
                </c:pt>
                <c:pt idx="19">
                  <c:v>72.898876404494388</c:v>
                </c:pt>
                <c:pt idx="20">
                  <c:v>73.95192307692308</c:v>
                </c:pt>
                <c:pt idx="21">
                  <c:v>74.306818181818187</c:v>
                </c:pt>
                <c:pt idx="22">
                  <c:v>75.134146341463421</c:v>
                </c:pt>
                <c:pt idx="23">
                  <c:v>76.258823529411771</c:v>
                </c:pt>
                <c:pt idx="24">
                  <c:v>78.373626373626379</c:v>
                </c:pt>
              </c:numCache>
            </c:numRef>
          </c:val>
        </c:ser>
        <c:dLbls>
          <c:showLegendKey val="0"/>
          <c:showVal val="0"/>
          <c:showCatName val="0"/>
          <c:showSerName val="0"/>
          <c:showPercent val="0"/>
          <c:showBubbleSize val="0"/>
        </c:dLbls>
        <c:gapWidth val="150"/>
        <c:axId val="224079232"/>
        <c:axId val="224089984"/>
      </c:barChart>
      <c:lineChart>
        <c:grouping val="standard"/>
        <c:varyColors val="0"/>
        <c:ser>
          <c:idx val="0"/>
          <c:order val="0"/>
          <c:tx>
            <c:strRef>
              <c:f>Sheet2!$R$2</c:f>
              <c:strCache>
                <c:ptCount val="1"/>
                <c:pt idx="0">
                  <c:v>FYGPA</c:v>
                </c:pt>
              </c:strCache>
            </c:strRef>
          </c:tx>
          <c:spPr>
            <a:ln w="19050"/>
          </c:spPr>
          <c:marker>
            <c:symbol val="circle"/>
            <c:size val="5"/>
            <c:spPr>
              <a:solidFill>
                <a:srgbClr val="1F497D">
                  <a:lumMod val="60000"/>
                  <a:lumOff val="40000"/>
                </a:srgbClr>
              </a:solidFill>
              <a:ln w="19050"/>
            </c:spPr>
          </c:marker>
          <c:cat>
            <c:numRef>
              <c:f>Sheet2!$A$3:$A$27</c:f>
              <c:numCache>
                <c:formatCode>General</c:formatCode>
                <c:ptCount val="25"/>
                <c:pt idx="0">
                  <c:v>95.2</c:v>
                </c:pt>
                <c:pt idx="1">
                  <c:v>95.4</c:v>
                </c:pt>
                <c:pt idx="2">
                  <c:v>95.6</c:v>
                </c:pt>
                <c:pt idx="3">
                  <c:v>95.8</c:v>
                </c:pt>
                <c:pt idx="4">
                  <c:v>96</c:v>
                </c:pt>
                <c:pt idx="5">
                  <c:v>96.2</c:v>
                </c:pt>
                <c:pt idx="6">
                  <c:v>96.4</c:v>
                </c:pt>
                <c:pt idx="7">
                  <c:v>96.6</c:v>
                </c:pt>
                <c:pt idx="8">
                  <c:v>96.8</c:v>
                </c:pt>
                <c:pt idx="9">
                  <c:v>97</c:v>
                </c:pt>
                <c:pt idx="10">
                  <c:v>97.2</c:v>
                </c:pt>
                <c:pt idx="11">
                  <c:v>97.4</c:v>
                </c:pt>
                <c:pt idx="12">
                  <c:v>97.6</c:v>
                </c:pt>
                <c:pt idx="13">
                  <c:v>97.8</c:v>
                </c:pt>
                <c:pt idx="14">
                  <c:v>98</c:v>
                </c:pt>
                <c:pt idx="15">
                  <c:v>98.2</c:v>
                </c:pt>
                <c:pt idx="16">
                  <c:v>98.4</c:v>
                </c:pt>
                <c:pt idx="17">
                  <c:v>98.600000000000094</c:v>
                </c:pt>
                <c:pt idx="18">
                  <c:v>98.800000000000097</c:v>
                </c:pt>
                <c:pt idx="19">
                  <c:v>99.000000000000099</c:v>
                </c:pt>
                <c:pt idx="20">
                  <c:v>99.200000000000102</c:v>
                </c:pt>
                <c:pt idx="21">
                  <c:v>99.400000000000105</c:v>
                </c:pt>
                <c:pt idx="22">
                  <c:v>99.600000000000094</c:v>
                </c:pt>
                <c:pt idx="23">
                  <c:v>99.800000000000097</c:v>
                </c:pt>
                <c:pt idx="24">
                  <c:v>100</c:v>
                </c:pt>
              </c:numCache>
            </c:numRef>
          </c:cat>
          <c:val>
            <c:numRef>
              <c:f>Sheet2!$R$3:$R$27</c:f>
              <c:numCache>
                <c:formatCode>General</c:formatCode>
                <c:ptCount val="25"/>
                <c:pt idx="0">
                  <c:v>2.8803773584905659</c:v>
                </c:pt>
                <c:pt idx="1">
                  <c:v>2.9649438202247183</c:v>
                </c:pt>
                <c:pt idx="2">
                  <c:v>3.3388157894736845</c:v>
                </c:pt>
                <c:pt idx="3">
                  <c:v>3.1538983050847467</c:v>
                </c:pt>
                <c:pt idx="4">
                  <c:v>2.9435616438356167</c:v>
                </c:pt>
                <c:pt idx="5">
                  <c:v>3.0138461538461541</c:v>
                </c:pt>
                <c:pt idx="6">
                  <c:v>3.3335616438356159</c:v>
                </c:pt>
                <c:pt idx="7">
                  <c:v>3.167820512820513</c:v>
                </c:pt>
                <c:pt idx="8">
                  <c:v>2.9475757575757573</c:v>
                </c:pt>
                <c:pt idx="9">
                  <c:v>3.1703030303030308</c:v>
                </c:pt>
                <c:pt idx="10">
                  <c:v>3.2873529411764699</c:v>
                </c:pt>
                <c:pt idx="11">
                  <c:v>3.0187058823529407</c:v>
                </c:pt>
                <c:pt idx="12">
                  <c:v>3.3458333333333328</c:v>
                </c:pt>
                <c:pt idx="13">
                  <c:v>3.3375000000000021</c:v>
                </c:pt>
                <c:pt idx="14">
                  <c:v>3.4718072289156616</c:v>
                </c:pt>
                <c:pt idx="15">
                  <c:v>3.5549999999999979</c:v>
                </c:pt>
                <c:pt idx="16">
                  <c:v>3.5068932038834957</c:v>
                </c:pt>
                <c:pt idx="17">
                  <c:v>3.5200970873786406</c:v>
                </c:pt>
                <c:pt idx="18">
                  <c:v>3.5239080459770111</c:v>
                </c:pt>
                <c:pt idx="19">
                  <c:v>3.672921348314607</c:v>
                </c:pt>
                <c:pt idx="20">
                  <c:v>3.5008653846153854</c:v>
                </c:pt>
                <c:pt idx="21">
                  <c:v>3.6907954545454542</c:v>
                </c:pt>
                <c:pt idx="22">
                  <c:v>3.8809756097560961</c:v>
                </c:pt>
                <c:pt idx="23">
                  <c:v>3.8602352941176457</c:v>
                </c:pt>
                <c:pt idx="24">
                  <c:v>4.199340659340657</c:v>
                </c:pt>
              </c:numCache>
            </c:numRef>
          </c:val>
          <c:smooth val="0"/>
        </c:ser>
        <c:dLbls>
          <c:showLegendKey val="0"/>
          <c:showVal val="0"/>
          <c:showCatName val="0"/>
          <c:showSerName val="0"/>
          <c:showPercent val="0"/>
          <c:showBubbleSize val="0"/>
        </c:dLbls>
        <c:marker val="1"/>
        <c:smooth val="0"/>
        <c:axId val="224102272"/>
        <c:axId val="224100352"/>
      </c:lineChart>
      <c:catAx>
        <c:axId val="224079232"/>
        <c:scaling>
          <c:orientation val="minMax"/>
        </c:scaling>
        <c:delete val="0"/>
        <c:axPos val="b"/>
        <c:title>
          <c:tx>
            <c:rich>
              <a:bodyPr/>
              <a:lstStyle/>
              <a:p>
                <a:pPr>
                  <a:defRPr/>
                </a:pPr>
                <a:r>
                  <a:rPr lang="en-US"/>
                  <a:t>HSGPA</a:t>
                </a:r>
              </a:p>
            </c:rich>
          </c:tx>
          <c:overlay val="0"/>
        </c:title>
        <c:numFmt formatCode="#,##0.0" sourceLinked="0"/>
        <c:majorTickMark val="out"/>
        <c:minorTickMark val="none"/>
        <c:tickLblPos val="nextTo"/>
        <c:txPr>
          <a:bodyPr/>
          <a:lstStyle/>
          <a:p>
            <a:pPr>
              <a:defRPr>
                <a:ln>
                  <a:solidFill>
                    <a:sysClr val="windowText" lastClr="000000"/>
                  </a:solidFill>
                </a:ln>
              </a:defRPr>
            </a:pPr>
            <a:endParaRPr lang="ar-SA"/>
          </a:p>
        </c:txPr>
        <c:crossAx val="224089984"/>
        <c:crosses val="autoZero"/>
        <c:auto val="1"/>
        <c:lblAlgn val="ctr"/>
        <c:lblOffset val="100"/>
        <c:noMultiLvlLbl val="0"/>
      </c:catAx>
      <c:valAx>
        <c:axId val="224089984"/>
        <c:scaling>
          <c:orientation val="minMax"/>
          <c:max val="80"/>
          <c:min val="55"/>
        </c:scaling>
        <c:delete val="0"/>
        <c:axPos val="l"/>
        <c:title>
          <c:tx>
            <c:rich>
              <a:bodyPr rot="0" vert="wordArtVert"/>
              <a:lstStyle/>
              <a:p>
                <a:pPr>
                  <a:defRPr/>
                </a:pPr>
                <a:r>
                  <a:rPr lang="en-US"/>
                  <a:t>GAT</a:t>
                </a:r>
              </a:p>
            </c:rich>
          </c:tx>
          <c:overlay val="0"/>
        </c:title>
        <c:numFmt formatCode="General" sourceLinked="1"/>
        <c:majorTickMark val="out"/>
        <c:minorTickMark val="none"/>
        <c:tickLblPos val="nextTo"/>
        <c:txPr>
          <a:bodyPr/>
          <a:lstStyle/>
          <a:p>
            <a:pPr>
              <a:defRPr>
                <a:ln>
                  <a:solidFill>
                    <a:srgbClr val="C00000"/>
                  </a:solidFill>
                </a:ln>
              </a:defRPr>
            </a:pPr>
            <a:endParaRPr lang="ar-SA"/>
          </a:p>
        </c:txPr>
        <c:crossAx val="224079232"/>
        <c:crosses val="autoZero"/>
        <c:crossBetween val="between"/>
      </c:valAx>
      <c:valAx>
        <c:axId val="224100352"/>
        <c:scaling>
          <c:orientation val="minMax"/>
          <c:min val="2.5"/>
        </c:scaling>
        <c:delete val="0"/>
        <c:axPos val="r"/>
        <c:title>
          <c:tx>
            <c:rich>
              <a:bodyPr rot="0" vert="wordArtVert"/>
              <a:lstStyle/>
              <a:p>
                <a:pPr>
                  <a:defRPr/>
                </a:pPr>
                <a:r>
                  <a:rPr lang="en-US"/>
                  <a:t>FYGPA</a:t>
                </a:r>
              </a:p>
            </c:rich>
          </c:tx>
          <c:overlay val="0"/>
        </c:title>
        <c:numFmt formatCode="General" sourceLinked="1"/>
        <c:majorTickMark val="out"/>
        <c:minorTickMark val="none"/>
        <c:tickLblPos val="nextTo"/>
        <c:txPr>
          <a:bodyPr/>
          <a:lstStyle/>
          <a:p>
            <a:pPr>
              <a:defRPr>
                <a:ln>
                  <a:solidFill>
                    <a:schemeClr val="tx2">
                      <a:lumMod val="60000"/>
                      <a:lumOff val="40000"/>
                    </a:schemeClr>
                  </a:solidFill>
                </a:ln>
              </a:defRPr>
            </a:pPr>
            <a:endParaRPr lang="ar-SA"/>
          </a:p>
        </c:txPr>
        <c:crossAx val="224102272"/>
        <c:crosses val="max"/>
        <c:crossBetween val="between"/>
      </c:valAx>
      <c:catAx>
        <c:axId val="224102272"/>
        <c:scaling>
          <c:orientation val="minMax"/>
        </c:scaling>
        <c:delete val="1"/>
        <c:axPos val="b"/>
        <c:numFmt formatCode="General" sourceLinked="1"/>
        <c:majorTickMark val="out"/>
        <c:minorTickMark val="none"/>
        <c:tickLblPos val="none"/>
        <c:crossAx val="224100352"/>
        <c:crosses val="autoZero"/>
        <c:auto val="1"/>
        <c:lblAlgn val="ctr"/>
        <c:lblOffset val="100"/>
        <c:noMultiLvlLbl val="0"/>
      </c:catAx>
      <c:spPr>
        <a:ln>
          <a:solidFill>
            <a:schemeClr val="accent1"/>
          </a:solidFill>
        </a:ln>
      </c:spPr>
    </c:plotArea>
    <c:legend>
      <c:legendPos val="b"/>
      <c:overlay val="0"/>
      <c:txPr>
        <a:bodyPr/>
        <a:lstStyle/>
        <a:p>
          <a:pPr>
            <a:defRPr>
              <a:ln>
                <a:solidFill>
                  <a:sysClr val="windowText" lastClr="000000"/>
                </a:solidFill>
              </a:ln>
            </a:defRPr>
          </a:pPr>
          <a:endParaRPr lang="ar-SA"/>
        </a:p>
      </c:txPr>
    </c:legend>
    <c:plotVisOnly val="1"/>
    <c:dispBlanksAs val="gap"/>
    <c:showDLblsOverMax val="0"/>
  </c:chart>
  <c:spPr>
    <a:noFill/>
    <a:ln w="25400">
      <a:solidFill>
        <a:sysClr val="windowText" lastClr="000000"/>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1"/>
          <c:order val="1"/>
          <c:tx>
            <c:strRef>
              <c:f>Sheet2!$W$2</c:f>
              <c:strCache>
                <c:ptCount val="1"/>
                <c:pt idx="0">
                  <c:v>GAT</c:v>
                </c:pt>
              </c:strCache>
            </c:strRef>
          </c:tx>
          <c:invertIfNegative val="0"/>
          <c:cat>
            <c:numRef>
              <c:f>Sheet2!$A$3:$A$27</c:f>
              <c:numCache>
                <c:formatCode>General</c:formatCode>
                <c:ptCount val="25"/>
                <c:pt idx="0">
                  <c:v>95.2</c:v>
                </c:pt>
                <c:pt idx="1">
                  <c:v>95.4</c:v>
                </c:pt>
                <c:pt idx="2">
                  <c:v>95.6</c:v>
                </c:pt>
                <c:pt idx="3">
                  <c:v>95.8</c:v>
                </c:pt>
                <c:pt idx="4">
                  <c:v>96</c:v>
                </c:pt>
                <c:pt idx="5">
                  <c:v>96.2</c:v>
                </c:pt>
                <c:pt idx="6">
                  <c:v>96.4</c:v>
                </c:pt>
                <c:pt idx="7">
                  <c:v>96.6</c:v>
                </c:pt>
                <c:pt idx="8">
                  <c:v>96.8</c:v>
                </c:pt>
                <c:pt idx="9">
                  <c:v>97</c:v>
                </c:pt>
                <c:pt idx="10">
                  <c:v>97.2</c:v>
                </c:pt>
                <c:pt idx="11">
                  <c:v>97.4</c:v>
                </c:pt>
                <c:pt idx="12">
                  <c:v>97.6</c:v>
                </c:pt>
                <c:pt idx="13">
                  <c:v>97.8</c:v>
                </c:pt>
                <c:pt idx="14">
                  <c:v>98</c:v>
                </c:pt>
                <c:pt idx="15">
                  <c:v>98.2</c:v>
                </c:pt>
                <c:pt idx="16">
                  <c:v>98.4</c:v>
                </c:pt>
                <c:pt idx="17">
                  <c:v>98.600000000000094</c:v>
                </c:pt>
                <c:pt idx="18">
                  <c:v>98.800000000000097</c:v>
                </c:pt>
                <c:pt idx="19">
                  <c:v>99.000000000000099</c:v>
                </c:pt>
                <c:pt idx="20">
                  <c:v>99.200000000000102</c:v>
                </c:pt>
                <c:pt idx="21">
                  <c:v>99.400000000000105</c:v>
                </c:pt>
                <c:pt idx="22">
                  <c:v>99.600000000000094</c:v>
                </c:pt>
                <c:pt idx="23">
                  <c:v>99.800000000000097</c:v>
                </c:pt>
                <c:pt idx="24">
                  <c:v>100</c:v>
                </c:pt>
              </c:numCache>
            </c:numRef>
          </c:cat>
          <c:val>
            <c:numRef>
              <c:f>Sheet2!$W$3:$W$27</c:f>
              <c:numCache>
                <c:formatCode>General</c:formatCode>
                <c:ptCount val="25"/>
                <c:pt idx="0">
                  <c:v>75.164335664335667</c:v>
                </c:pt>
                <c:pt idx="1">
                  <c:v>74.861111111111114</c:v>
                </c:pt>
                <c:pt idx="2">
                  <c:v>74.876158940397346</c:v>
                </c:pt>
                <c:pt idx="3">
                  <c:v>74.859375</c:v>
                </c:pt>
                <c:pt idx="4">
                  <c:v>75.758210526315793</c:v>
                </c:pt>
                <c:pt idx="5">
                  <c:v>76.925274725274733</c:v>
                </c:pt>
                <c:pt idx="6">
                  <c:v>76.281904761904755</c:v>
                </c:pt>
                <c:pt idx="7">
                  <c:v>74.828282828282823</c:v>
                </c:pt>
                <c:pt idx="8">
                  <c:v>75.486683937823841</c:v>
                </c:pt>
                <c:pt idx="9">
                  <c:v>75.996500000000012</c:v>
                </c:pt>
                <c:pt idx="10">
                  <c:v>75.366772727272732</c:v>
                </c:pt>
                <c:pt idx="11">
                  <c:v>75.282710280373834</c:v>
                </c:pt>
                <c:pt idx="12">
                  <c:v>77.239336492890999</c:v>
                </c:pt>
                <c:pt idx="13">
                  <c:v>77.578947368421055</c:v>
                </c:pt>
                <c:pt idx="14">
                  <c:v>76.70471698113208</c:v>
                </c:pt>
                <c:pt idx="15">
                  <c:v>76.729957805907176</c:v>
                </c:pt>
                <c:pt idx="16">
                  <c:v>77.62444444444445</c:v>
                </c:pt>
                <c:pt idx="17">
                  <c:v>77.752401960784312</c:v>
                </c:pt>
                <c:pt idx="18">
                  <c:v>78.175121951219509</c:v>
                </c:pt>
                <c:pt idx="19">
                  <c:v>77.566822429906551</c:v>
                </c:pt>
                <c:pt idx="20">
                  <c:v>79.060206611570251</c:v>
                </c:pt>
                <c:pt idx="21">
                  <c:v>78.408677685950423</c:v>
                </c:pt>
                <c:pt idx="22">
                  <c:v>79.026666666666671</c:v>
                </c:pt>
                <c:pt idx="23">
                  <c:v>79.899128205128207</c:v>
                </c:pt>
                <c:pt idx="24">
                  <c:v>80.585664335664333</c:v>
                </c:pt>
              </c:numCache>
            </c:numRef>
          </c:val>
        </c:ser>
        <c:dLbls>
          <c:showLegendKey val="0"/>
          <c:showVal val="0"/>
          <c:showCatName val="0"/>
          <c:showSerName val="0"/>
          <c:showPercent val="0"/>
          <c:showBubbleSize val="0"/>
        </c:dLbls>
        <c:gapWidth val="150"/>
        <c:axId val="224115712"/>
        <c:axId val="224118272"/>
      </c:barChart>
      <c:lineChart>
        <c:grouping val="standard"/>
        <c:varyColors val="0"/>
        <c:ser>
          <c:idx val="0"/>
          <c:order val="0"/>
          <c:tx>
            <c:strRef>
              <c:f>Sheet2!$V$2</c:f>
              <c:strCache>
                <c:ptCount val="1"/>
                <c:pt idx="0">
                  <c:v>FYGPA</c:v>
                </c:pt>
              </c:strCache>
            </c:strRef>
          </c:tx>
          <c:spPr>
            <a:ln w="19050"/>
          </c:spPr>
          <c:marker>
            <c:symbol val="circle"/>
            <c:size val="5"/>
            <c:spPr>
              <a:solidFill>
                <a:srgbClr val="1F497D">
                  <a:lumMod val="60000"/>
                  <a:lumOff val="40000"/>
                </a:srgbClr>
              </a:solidFill>
              <a:ln w="19050"/>
            </c:spPr>
          </c:marker>
          <c:cat>
            <c:numRef>
              <c:f>Sheet2!$A$3:$A$27</c:f>
              <c:numCache>
                <c:formatCode>General</c:formatCode>
                <c:ptCount val="25"/>
                <c:pt idx="0">
                  <c:v>95.2</c:v>
                </c:pt>
                <c:pt idx="1">
                  <c:v>95.4</c:v>
                </c:pt>
                <c:pt idx="2">
                  <c:v>95.6</c:v>
                </c:pt>
                <c:pt idx="3">
                  <c:v>95.8</c:v>
                </c:pt>
                <c:pt idx="4">
                  <c:v>96</c:v>
                </c:pt>
                <c:pt idx="5">
                  <c:v>96.2</c:v>
                </c:pt>
                <c:pt idx="6">
                  <c:v>96.4</c:v>
                </c:pt>
                <c:pt idx="7">
                  <c:v>96.6</c:v>
                </c:pt>
                <c:pt idx="8">
                  <c:v>96.8</c:v>
                </c:pt>
                <c:pt idx="9">
                  <c:v>97</c:v>
                </c:pt>
                <c:pt idx="10">
                  <c:v>97.2</c:v>
                </c:pt>
                <c:pt idx="11">
                  <c:v>97.4</c:v>
                </c:pt>
                <c:pt idx="12">
                  <c:v>97.6</c:v>
                </c:pt>
                <c:pt idx="13">
                  <c:v>97.8</c:v>
                </c:pt>
                <c:pt idx="14">
                  <c:v>98</c:v>
                </c:pt>
                <c:pt idx="15">
                  <c:v>98.2</c:v>
                </c:pt>
                <c:pt idx="16">
                  <c:v>98.4</c:v>
                </c:pt>
                <c:pt idx="17">
                  <c:v>98.600000000000094</c:v>
                </c:pt>
                <c:pt idx="18">
                  <c:v>98.800000000000097</c:v>
                </c:pt>
                <c:pt idx="19">
                  <c:v>99.000000000000099</c:v>
                </c:pt>
                <c:pt idx="20">
                  <c:v>99.200000000000102</c:v>
                </c:pt>
                <c:pt idx="21">
                  <c:v>99.400000000000105</c:v>
                </c:pt>
                <c:pt idx="22">
                  <c:v>99.600000000000094</c:v>
                </c:pt>
                <c:pt idx="23">
                  <c:v>99.800000000000097</c:v>
                </c:pt>
                <c:pt idx="24">
                  <c:v>100</c:v>
                </c:pt>
              </c:numCache>
            </c:numRef>
          </c:cat>
          <c:val>
            <c:numRef>
              <c:f>Sheet2!$V$3:$V$27</c:f>
              <c:numCache>
                <c:formatCode>General</c:formatCode>
                <c:ptCount val="25"/>
                <c:pt idx="0">
                  <c:v>3.3322222222222218</c:v>
                </c:pt>
                <c:pt idx="1">
                  <c:v>3.289000000000001</c:v>
                </c:pt>
                <c:pt idx="2">
                  <c:v>3.2462337662337668</c:v>
                </c:pt>
                <c:pt idx="3">
                  <c:v>3.3565294117647073</c:v>
                </c:pt>
                <c:pt idx="4">
                  <c:v>3.5082741116751275</c:v>
                </c:pt>
                <c:pt idx="5">
                  <c:v>3.4533155080213915</c:v>
                </c:pt>
                <c:pt idx="6">
                  <c:v>3.3938139534883724</c:v>
                </c:pt>
                <c:pt idx="7">
                  <c:v>3.4443283582089537</c:v>
                </c:pt>
                <c:pt idx="8">
                  <c:v>3.4713705583756327</c:v>
                </c:pt>
                <c:pt idx="9">
                  <c:v>3.6069117647058833</c:v>
                </c:pt>
                <c:pt idx="10">
                  <c:v>3.518938053097346</c:v>
                </c:pt>
                <c:pt idx="11">
                  <c:v>3.5469506726457429</c:v>
                </c:pt>
                <c:pt idx="12">
                  <c:v>3.5630046948356813</c:v>
                </c:pt>
                <c:pt idx="13">
                  <c:v>3.6999061032863843</c:v>
                </c:pt>
                <c:pt idx="14">
                  <c:v>3.6042660550458741</c:v>
                </c:pt>
                <c:pt idx="15">
                  <c:v>3.6764730290456411</c:v>
                </c:pt>
                <c:pt idx="16">
                  <c:v>3.8357894736842106</c:v>
                </c:pt>
                <c:pt idx="17">
                  <c:v>3.8611961722488033</c:v>
                </c:pt>
                <c:pt idx="18">
                  <c:v>3.7534299516908214</c:v>
                </c:pt>
                <c:pt idx="19">
                  <c:v>3.9716289592760186</c:v>
                </c:pt>
                <c:pt idx="20">
                  <c:v>3.9335059760956166</c:v>
                </c:pt>
                <c:pt idx="21">
                  <c:v>4.0163157894736834</c:v>
                </c:pt>
                <c:pt idx="22">
                  <c:v>4.1293073593073597</c:v>
                </c:pt>
                <c:pt idx="23">
                  <c:v>4.163636363636364</c:v>
                </c:pt>
                <c:pt idx="24">
                  <c:v>4.2920689655172444</c:v>
                </c:pt>
              </c:numCache>
            </c:numRef>
          </c:val>
          <c:smooth val="0"/>
        </c:ser>
        <c:dLbls>
          <c:showLegendKey val="0"/>
          <c:showVal val="0"/>
          <c:showCatName val="0"/>
          <c:showSerName val="0"/>
          <c:showPercent val="0"/>
          <c:showBubbleSize val="0"/>
        </c:dLbls>
        <c:marker val="1"/>
        <c:smooth val="0"/>
        <c:axId val="224122368"/>
        <c:axId val="224120192"/>
      </c:lineChart>
      <c:catAx>
        <c:axId val="224115712"/>
        <c:scaling>
          <c:orientation val="minMax"/>
        </c:scaling>
        <c:delete val="0"/>
        <c:axPos val="b"/>
        <c:title>
          <c:tx>
            <c:rich>
              <a:bodyPr/>
              <a:lstStyle/>
              <a:p>
                <a:pPr>
                  <a:defRPr/>
                </a:pPr>
                <a:r>
                  <a:rPr lang="en-US"/>
                  <a:t>HSGPA</a:t>
                </a:r>
              </a:p>
            </c:rich>
          </c:tx>
          <c:overlay val="0"/>
        </c:title>
        <c:numFmt formatCode="#,##0.0" sourceLinked="0"/>
        <c:majorTickMark val="out"/>
        <c:minorTickMark val="none"/>
        <c:tickLblPos val="nextTo"/>
        <c:txPr>
          <a:bodyPr/>
          <a:lstStyle/>
          <a:p>
            <a:pPr>
              <a:defRPr>
                <a:ln>
                  <a:solidFill>
                    <a:sysClr val="windowText" lastClr="000000"/>
                  </a:solidFill>
                </a:ln>
              </a:defRPr>
            </a:pPr>
            <a:endParaRPr lang="ar-SA"/>
          </a:p>
        </c:txPr>
        <c:crossAx val="224118272"/>
        <c:crosses val="autoZero"/>
        <c:auto val="1"/>
        <c:lblAlgn val="ctr"/>
        <c:lblOffset val="100"/>
        <c:noMultiLvlLbl val="0"/>
      </c:catAx>
      <c:valAx>
        <c:axId val="224118272"/>
        <c:scaling>
          <c:orientation val="minMax"/>
          <c:max val="80"/>
          <c:min val="70"/>
        </c:scaling>
        <c:delete val="0"/>
        <c:axPos val="l"/>
        <c:title>
          <c:tx>
            <c:rich>
              <a:bodyPr rot="0" vert="wordArtVert"/>
              <a:lstStyle/>
              <a:p>
                <a:pPr>
                  <a:defRPr/>
                </a:pPr>
                <a:r>
                  <a:rPr lang="en-US"/>
                  <a:t>GAT</a:t>
                </a:r>
              </a:p>
            </c:rich>
          </c:tx>
          <c:overlay val="0"/>
        </c:title>
        <c:numFmt formatCode="General" sourceLinked="1"/>
        <c:majorTickMark val="out"/>
        <c:minorTickMark val="none"/>
        <c:tickLblPos val="nextTo"/>
        <c:txPr>
          <a:bodyPr/>
          <a:lstStyle/>
          <a:p>
            <a:pPr>
              <a:defRPr>
                <a:ln>
                  <a:solidFill>
                    <a:srgbClr val="C00000"/>
                  </a:solidFill>
                </a:ln>
              </a:defRPr>
            </a:pPr>
            <a:endParaRPr lang="ar-SA"/>
          </a:p>
        </c:txPr>
        <c:crossAx val="224115712"/>
        <c:crosses val="autoZero"/>
        <c:crossBetween val="between"/>
      </c:valAx>
      <c:valAx>
        <c:axId val="224120192"/>
        <c:scaling>
          <c:orientation val="minMax"/>
          <c:min val="3"/>
        </c:scaling>
        <c:delete val="0"/>
        <c:axPos val="r"/>
        <c:title>
          <c:tx>
            <c:rich>
              <a:bodyPr rot="0" vert="wordArtVert"/>
              <a:lstStyle/>
              <a:p>
                <a:pPr>
                  <a:defRPr/>
                </a:pPr>
                <a:r>
                  <a:rPr lang="en-US"/>
                  <a:t>FYGPA</a:t>
                </a:r>
              </a:p>
            </c:rich>
          </c:tx>
          <c:overlay val="0"/>
        </c:title>
        <c:numFmt formatCode="General" sourceLinked="1"/>
        <c:majorTickMark val="out"/>
        <c:minorTickMark val="none"/>
        <c:tickLblPos val="nextTo"/>
        <c:txPr>
          <a:bodyPr/>
          <a:lstStyle/>
          <a:p>
            <a:pPr>
              <a:defRPr>
                <a:ln>
                  <a:solidFill>
                    <a:schemeClr val="tx2">
                      <a:lumMod val="60000"/>
                      <a:lumOff val="40000"/>
                    </a:schemeClr>
                  </a:solidFill>
                </a:ln>
              </a:defRPr>
            </a:pPr>
            <a:endParaRPr lang="ar-SA"/>
          </a:p>
        </c:txPr>
        <c:crossAx val="224122368"/>
        <c:crosses val="max"/>
        <c:crossBetween val="between"/>
      </c:valAx>
      <c:catAx>
        <c:axId val="224122368"/>
        <c:scaling>
          <c:orientation val="minMax"/>
        </c:scaling>
        <c:delete val="1"/>
        <c:axPos val="b"/>
        <c:numFmt formatCode="General" sourceLinked="1"/>
        <c:majorTickMark val="out"/>
        <c:minorTickMark val="none"/>
        <c:tickLblPos val="none"/>
        <c:crossAx val="224120192"/>
        <c:crosses val="autoZero"/>
        <c:auto val="1"/>
        <c:lblAlgn val="ctr"/>
        <c:lblOffset val="100"/>
        <c:noMultiLvlLbl val="0"/>
      </c:catAx>
    </c:plotArea>
    <c:legend>
      <c:legendPos val="b"/>
      <c:overlay val="0"/>
      <c:txPr>
        <a:bodyPr/>
        <a:lstStyle/>
        <a:p>
          <a:pPr>
            <a:defRPr>
              <a:ln>
                <a:solidFill>
                  <a:sysClr val="windowText" lastClr="000000"/>
                </a:solidFill>
              </a:ln>
            </a:defRPr>
          </a:pPr>
          <a:endParaRPr lang="ar-SA"/>
        </a:p>
      </c:txPr>
    </c:legend>
    <c:plotVisOnly val="1"/>
    <c:dispBlanksAs val="gap"/>
    <c:showDLblsOverMax val="0"/>
  </c:chart>
  <c:spPr>
    <a:ln w="25400">
      <a:solidFill>
        <a:sysClr val="windowText" lastClr="000000"/>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1"/>
          <c:order val="1"/>
          <c:tx>
            <c:strRef>
              <c:f>Sheet2!$AA$2</c:f>
              <c:strCache>
                <c:ptCount val="1"/>
                <c:pt idx="0">
                  <c:v>GAT</c:v>
                </c:pt>
              </c:strCache>
            </c:strRef>
          </c:tx>
          <c:invertIfNegative val="0"/>
          <c:cat>
            <c:numRef>
              <c:f>Sheet2!$A$3:$A$27</c:f>
              <c:numCache>
                <c:formatCode>General</c:formatCode>
                <c:ptCount val="25"/>
                <c:pt idx="0">
                  <c:v>95.2</c:v>
                </c:pt>
                <c:pt idx="1">
                  <c:v>95.4</c:v>
                </c:pt>
                <c:pt idx="2">
                  <c:v>95.6</c:v>
                </c:pt>
                <c:pt idx="3">
                  <c:v>95.8</c:v>
                </c:pt>
                <c:pt idx="4">
                  <c:v>96</c:v>
                </c:pt>
                <c:pt idx="5">
                  <c:v>96.2</c:v>
                </c:pt>
                <c:pt idx="6">
                  <c:v>96.4</c:v>
                </c:pt>
                <c:pt idx="7">
                  <c:v>96.6</c:v>
                </c:pt>
                <c:pt idx="8">
                  <c:v>96.8</c:v>
                </c:pt>
                <c:pt idx="9">
                  <c:v>97</c:v>
                </c:pt>
                <c:pt idx="10">
                  <c:v>97.2</c:v>
                </c:pt>
                <c:pt idx="11">
                  <c:v>97.4</c:v>
                </c:pt>
                <c:pt idx="12">
                  <c:v>97.6</c:v>
                </c:pt>
                <c:pt idx="13">
                  <c:v>97.8</c:v>
                </c:pt>
                <c:pt idx="14">
                  <c:v>98</c:v>
                </c:pt>
                <c:pt idx="15">
                  <c:v>98.2</c:v>
                </c:pt>
                <c:pt idx="16">
                  <c:v>98.4</c:v>
                </c:pt>
                <c:pt idx="17">
                  <c:v>98.600000000000094</c:v>
                </c:pt>
                <c:pt idx="18">
                  <c:v>98.800000000000097</c:v>
                </c:pt>
                <c:pt idx="19">
                  <c:v>99.000000000000099</c:v>
                </c:pt>
                <c:pt idx="20">
                  <c:v>99.200000000000102</c:v>
                </c:pt>
                <c:pt idx="21">
                  <c:v>99.400000000000105</c:v>
                </c:pt>
                <c:pt idx="22">
                  <c:v>99.600000000000094</c:v>
                </c:pt>
                <c:pt idx="23">
                  <c:v>99.800000000000097</c:v>
                </c:pt>
                <c:pt idx="24">
                  <c:v>100</c:v>
                </c:pt>
              </c:numCache>
            </c:numRef>
          </c:cat>
          <c:val>
            <c:numRef>
              <c:f>Sheet2!$AA$3:$AA$27</c:f>
              <c:numCache>
                <c:formatCode>General</c:formatCode>
                <c:ptCount val="25"/>
                <c:pt idx="0">
                  <c:v>77.625</c:v>
                </c:pt>
                <c:pt idx="1">
                  <c:v>75.941176470588232</c:v>
                </c:pt>
                <c:pt idx="2">
                  <c:v>76.411764705882348</c:v>
                </c:pt>
                <c:pt idx="3">
                  <c:v>76.208333333333329</c:v>
                </c:pt>
                <c:pt idx="4">
                  <c:v>77.86666666666666</c:v>
                </c:pt>
                <c:pt idx="5">
                  <c:v>79.7</c:v>
                </c:pt>
                <c:pt idx="6">
                  <c:v>78.869565217391298</c:v>
                </c:pt>
                <c:pt idx="7">
                  <c:v>76.233333333333334</c:v>
                </c:pt>
                <c:pt idx="8">
                  <c:v>77.033333333333331</c:v>
                </c:pt>
                <c:pt idx="9">
                  <c:v>78.5</c:v>
                </c:pt>
                <c:pt idx="10">
                  <c:v>78.931034482758619</c:v>
                </c:pt>
                <c:pt idx="11">
                  <c:v>79.482758620689651</c:v>
                </c:pt>
                <c:pt idx="12">
                  <c:v>79.935483870967744</c:v>
                </c:pt>
                <c:pt idx="13">
                  <c:v>80.102564102564102</c:v>
                </c:pt>
                <c:pt idx="14">
                  <c:v>77.84615384615384</c:v>
                </c:pt>
                <c:pt idx="15">
                  <c:v>78.424999999999997</c:v>
                </c:pt>
                <c:pt idx="16">
                  <c:v>79.5</c:v>
                </c:pt>
                <c:pt idx="17">
                  <c:v>79.487804878048777</c:v>
                </c:pt>
                <c:pt idx="18">
                  <c:v>80.622641509433961</c:v>
                </c:pt>
                <c:pt idx="19">
                  <c:v>79.400000000000006</c:v>
                </c:pt>
                <c:pt idx="20">
                  <c:v>80.577777777777783</c:v>
                </c:pt>
                <c:pt idx="21">
                  <c:v>79.945454545454552</c:v>
                </c:pt>
                <c:pt idx="22">
                  <c:v>81.696428571428569</c:v>
                </c:pt>
                <c:pt idx="23">
                  <c:v>81.646153846153851</c:v>
                </c:pt>
                <c:pt idx="24">
                  <c:v>83.019417475728162</c:v>
                </c:pt>
              </c:numCache>
            </c:numRef>
          </c:val>
        </c:ser>
        <c:dLbls>
          <c:showLegendKey val="0"/>
          <c:showVal val="0"/>
          <c:showCatName val="0"/>
          <c:showSerName val="0"/>
          <c:showPercent val="0"/>
          <c:showBubbleSize val="0"/>
        </c:dLbls>
        <c:gapWidth val="150"/>
        <c:axId val="224156672"/>
        <c:axId val="224159232"/>
      </c:barChart>
      <c:lineChart>
        <c:grouping val="standard"/>
        <c:varyColors val="0"/>
        <c:ser>
          <c:idx val="0"/>
          <c:order val="0"/>
          <c:tx>
            <c:strRef>
              <c:f>Sheet2!$Z$2</c:f>
              <c:strCache>
                <c:ptCount val="1"/>
                <c:pt idx="0">
                  <c:v>FYGPA</c:v>
                </c:pt>
              </c:strCache>
            </c:strRef>
          </c:tx>
          <c:spPr>
            <a:ln w="19050"/>
          </c:spPr>
          <c:marker>
            <c:symbol val="circle"/>
            <c:size val="5"/>
            <c:spPr>
              <a:solidFill>
                <a:srgbClr val="1F497D">
                  <a:lumMod val="60000"/>
                  <a:lumOff val="40000"/>
                </a:srgbClr>
              </a:solidFill>
              <a:ln w="19050"/>
            </c:spPr>
          </c:marker>
          <c:cat>
            <c:numRef>
              <c:f>Sheet2!$A$3:$A$27</c:f>
              <c:numCache>
                <c:formatCode>General</c:formatCode>
                <c:ptCount val="25"/>
                <c:pt idx="0">
                  <c:v>95.2</c:v>
                </c:pt>
                <c:pt idx="1">
                  <c:v>95.4</c:v>
                </c:pt>
                <c:pt idx="2">
                  <c:v>95.6</c:v>
                </c:pt>
                <c:pt idx="3">
                  <c:v>95.8</c:v>
                </c:pt>
                <c:pt idx="4">
                  <c:v>96</c:v>
                </c:pt>
                <c:pt idx="5">
                  <c:v>96.2</c:v>
                </c:pt>
                <c:pt idx="6">
                  <c:v>96.4</c:v>
                </c:pt>
                <c:pt idx="7">
                  <c:v>96.6</c:v>
                </c:pt>
                <c:pt idx="8">
                  <c:v>96.8</c:v>
                </c:pt>
                <c:pt idx="9">
                  <c:v>97</c:v>
                </c:pt>
                <c:pt idx="10">
                  <c:v>97.2</c:v>
                </c:pt>
                <c:pt idx="11">
                  <c:v>97.4</c:v>
                </c:pt>
                <c:pt idx="12">
                  <c:v>97.6</c:v>
                </c:pt>
                <c:pt idx="13">
                  <c:v>97.8</c:v>
                </c:pt>
                <c:pt idx="14">
                  <c:v>98</c:v>
                </c:pt>
                <c:pt idx="15">
                  <c:v>98.2</c:v>
                </c:pt>
                <c:pt idx="16">
                  <c:v>98.4</c:v>
                </c:pt>
                <c:pt idx="17">
                  <c:v>98.600000000000094</c:v>
                </c:pt>
                <c:pt idx="18">
                  <c:v>98.800000000000097</c:v>
                </c:pt>
                <c:pt idx="19">
                  <c:v>99.000000000000099</c:v>
                </c:pt>
                <c:pt idx="20">
                  <c:v>99.200000000000102</c:v>
                </c:pt>
                <c:pt idx="21">
                  <c:v>99.400000000000105</c:v>
                </c:pt>
                <c:pt idx="22">
                  <c:v>99.600000000000094</c:v>
                </c:pt>
                <c:pt idx="23">
                  <c:v>99.800000000000097</c:v>
                </c:pt>
                <c:pt idx="24">
                  <c:v>100</c:v>
                </c:pt>
              </c:numCache>
            </c:numRef>
          </c:cat>
          <c:val>
            <c:numRef>
              <c:f>Sheet2!$Z$3:$Z$27</c:f>
              <c:numCache>
                <c:formatCode>General</c:formatCode>
                <c:ptCount val="25"/>
                <c:pt idx="0">
                  <c:v>4.5150000000000006</c:v>
                </c:pt>
                <c:pt idx="1">
                  <c:v>4.3166666666666664</c:v>
                </c:pt>
                <c:pt idx="2">
                  <c:v>4.0540000000000003</c:v>
                </c:pt>
                <c:pt idx="3">
                  <c:v>4.1159999999999997</c:v>
                </c:pt>
                <c:pt idx="4">
                  <c:v>3.9000000000000004</c:v>
                </c:pt>
                <c:pt idx="5">
                  <c:v>3.7212500000000004</c:v>
                </c:pt>
                <c:pt idx="6">
                  <c:v>4.2250000000000005</c:v>
                </c:pt>
                <c:pt idx="7">
                  <c:v>4.2928571428571427</c:v>
                </c:pt>
                <c:pt idx="8">
                  <c:v>4.1545454545454552</c:v>
                </c:pt>
                <c:pt idx="9">
                  <c:v>4.2162500000000005</c:v>
                </c:pt>
                <c:pt idx="10">
                  <c:v>4.0407692307692304</c:v>
                </c:pt>
                <c:pt idx="11">
                  <c:v>4.1190000000000007</c:v>
                </c:pt>
                <c:pt idx="12">
                  <c:v>4.1422222222222222</c:v>
                </c:pt>
                <c:pt idx="13">
                  <c:v>4.0453333333333328</c:v>
                </c:pt>
                <c:pt idx="14">
                  <c:v>4.1490909090909094</c:v>
                </c:pt>
                <c:pt idx="15">
                  <c:v>4.144000000000001</c:v>
                </c:pt>
                <c:pt idx="16">
                  <c:v>4.2833333333333341</c:v>
                </c:pt>
                <c:pt idx="17">
                  <c:v>4.2811111111111106</c:v>
                </c:pt>
                <c:pt idx="18">
                  <c:v>4.1790909090909087</c:v>
                </c:pt>
                <c:pt idx="19">
                  <c:v>4.432777777777777</c:v>
                </c:pt>
                <c:pt idx="20">
                  <c:v>4.0127272727272736</c:v>
                </c:pt>
                <c:pt idx="21">
                  <c:v>4.2354166666666666</c:v>
                </c:pt>
                <c:pt idx="22">
                  <c:v>4.4245000000000001</c:v>
                </c:pt>
                <c:pt idx="23">
                  <c:v>4.6269230769230765</c:v>
                </c:pt>
                <c:pt idx="24">
                  <c:v>4.6918750000000014</c:v>
                </c:pt>
              </c:numCache>
            </c:numRef>
          </c:val>
          <c:smooth val="0"/>
        </c:ser>
        <c:dLbls>
          <c:showLegendKey val="0"/>
          <c:showVal val="0"/>
          <c:showCatName val="0"/>
          <c:showSerName val="0"/>
          <c:showPercent val="0"/>
          <c:showBubbleSize val="0"/>
        </c:dLbls>
        <c:marker val="1"/>
        <c:smooth val="0"/>
        <c:axId val="224163328"/>
        <c:axId val="224161152"/>
      </c:lineChart>
      <c:catAx>
        <c:axId val="224156672"/>
        <c:scaling>
          <c:orientation val="minMax"/>
        </c:scaling>
        <c:delete val="0"/>
        <c:axPos val="b"/>
        <c:title>
          <c:tx>
            <c:rich>
              <a:bodyPr/>
              <a:lstStyle/>
              <a:p>
                <a:pPr>
                  <a:defRPr/>
                </a:pPr>
                <a:r>
                  <a:rPr lang="en-US"/>
                  <a:t>HSGPA</a:t>
                </a:r>
              </a:p>
            </c:rich>
          </c:tx>
          <c:overlay val="0"/>
        </c:title>
        <c:numFmt formatCode="#,##0.0" sourceLinked="0"/>
        <c:majorTickMark val="out"/>
        <c:minorTickMark val="none"/>
        <c:tickLblPos val="nextTo"/>
        <c:txPr>
          <a:bodyPr/>
          <a:lstStyle/>
          <a:p>
            <a:pPr>
              <a:defRPr>
                <a:ln>
                  <a:solidFill>
                    <a:sysClr val="windowText" lastClr="000000"/>
                  </a:solidFill>
                </a:ln>
              </a:defRPr>
            </a:pPr>
            <a:endParaRPr lang="ar-SA"/>
          </a:p>
        </c:txPr>
        <c:crossAx val="224159232"/>
        <c:crosses val="autoZero"/>
        <c:auto val="1"/>
        <c:lblAlgn val="ctr"/>
        <c:lblOffset val="100"/>
        <c:noMultiLvlLbl val="0"/>
      </c:catAx>
      <c:valAx>
        <c:axId val="224159232"/>
        <c:scaling>
          <c:orientation val="minMax"/>
          <c:max val="90"/>
          <c:min val="70"/>
        </c:scaling>
        <c:delete val="0"/>
        <c:axPos val="l"/>
        <c:title>
          <c:tx>
            <c:rich>
              <a:bodyPr rot="0" vert="wordArtVert"/>
              <a:lstStyle/>
              <a:p>
                <a:pPr>
                  <a:defRPr/>
                </a:pPr>
                <a:r>
                  <a:rPr lang="en-US"/>
                  <a:t>GAT</a:t>
                </a:r>
              </a:p>
            </c:rich>
          </c:tx>
          <c:overlay val="0"/>
        </c:title>
        <c:numFmt formatCode="General" sourceLinked="1"/>
        <c:majorTickMark val="out"/>
        <c:minorTickMark val="none"/>
        <c:tickLblPos val="nextTo"/>
        <c:txPr>
          <a:bodyPr/>
          <a:lstStyle/>
          <a:p>
            <a:pPr>
              <a:defRPr>
                <a:ln>
                  <a:solidFill>
                    <a:srgbClr val="C00000"/>
                  </a:solidFill>
                </a:ln>
              </a:defRPr>
            </a:pPr>
            <a:endParaRPr lang="ar-SA"/>
          </a:p>
        </c:txPr>
        <c:crossAx val="224156672"/>
        <c:crosses val="autoZero"/>
        <c:crossBetween val="between"/>
      </c:valAx>
      <c:valAx>
        <c:axId val="224161152"/>
        <c:scaling>
          <c:orientation val="minMax"/>
          <c:min val="3.5"/>
        </c:scaling>
        <c:delete val="0"/>
        <c:axPos val="r"/>
        <c:title>
          <c:tx>
            <c:rich>
              <a:bodyPr rot="0" vert="wordArtVert"/>
              <a:lstStyle/>
              <a:p>
                <a:pPr>
                  <a:defRPr/>
                </a:pPr>
                <a:r>
                  <a:rPr lang="en-US"/>
                  <a:t>FYGPA</a:t>
                </a:r>
              </a:p>
            </c:rich>
          </c:tx>
          <c:overlay val="0"/>
        </c:title>
        <c:numFmt formatCode="General" sourceLinked="1"/>
        <c:majorTickMark val="out"/>
        <c:minorTickMark val="none"/>
        <c:tickLblPos val="nextTo"/>
        <c:txPr>
          <a:bodyPr/>
          <a:lstStyle/>
          <a:p>
            <a:pPr>
              <a:defRPr>
                <a:ln>
                  <a:solidFill>
                    <a:schemeClr val="tx2">
                      <a:lumMod val="60000"/>
                      <a:lumOff val="40000"/>
                    </a:schemeClr>
                  </a:solidFill>
                </a:ln>
              </a:defRPr>
            </a:pPr>
            <a:endParaRPr lang="ar-SA"/>
          </a:p>
        </c:txPr>
        <c:crossAx val="224163328"/>
        <c:crosses val="max"/>
        <c:crossBetween val="between"/>
      </c:valAx>
      <c:catAx>
        <c:axId val="224163328"/>
        <c:scaling>
          <c:orientation val="minMax"/>
        </c:scaling>
        <c:delete val="1"/>
        <c:axPos val="b"/>
        <c:numFmt formatCode="General" sourceLinked="1"/>
        <c:majorTickMark val="out"/>
        <c:minorTickMark val="none"/>
        <c:tickLblPos val="none"/>
        <c:crossAx val="224161152"/>
        <c:crosses val="autoZero"/>
        <c:auto val="1"/>
        <c:lblAlgn val="ctr"/>
        <c:lblOffset val="100"/>
        <c:noMultiLvlLbl val="0"/>
      </c:catAx>
    </c:plotArea>
    <c:legend>
      <c:legendPos val="b"/>
      <c:overlay val="0"/>
      <c:txPr>
        <a:bodyPr/>
        <a:lstStyle/>
        <a:p>
          <a:pPr>
            <a:defRPr>
              <a:ln>
                <a:solidFill>
                  <a:sysClr val="windowText" lastClr="000000"/>
                </a:solidFill>
              </a:ln>
            </a:defRPr>
          </a:pPr>
          <a:endParaRPr lang="ar-SA"/>
        </a:p>
      </c:txPr>
    </c:legend>
    <c:plotVisOnly val="1"/>
    <c:dispBlanksAs val="gap"/>
    <c:showDLblsOverMax val="0"/>
  </c:chart>
  <c:spPr>
    <a:ln w="25400">
      <a:solidFill>
        <a:sysClr val="windowText" lastClr="000000"/>
      </a:solid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0.18103</cdr:y>
    </cdr:from>
    <cdr:to>
      <cdr:x>0.0403</cdr:x>
      <cdr:y>0.46839</cdr:y>
    </cdr:to>
    <cdr:sp macro="" textlink="">
      <cdr:nvSpPr>
        <cdr:cNvPr id="2" name="TextBox 1"/>
        <cdr:cNvSpPr txBox="1"/>
      </cdr:nvSpPr>
      <cdr:spPr>
        <a:xfrm xmlns:a="http://schemas.openxmlformats.org/drawingml/2006/main">
          <a:off x="0" y="600075"/>
          <a:ext cx="304800" cy="952500"/>
        </a:xfrm>
        <a:prstGeom xmlns:a="http://schemas.openxmlformats.org/drawingml/2006/main" prst="rect">
          <a:avLst/>
        </a:prstGeom>
      </cdr:spPr>
      <cdr:txBody>
        <a:bodyPr xmlns:a="http://schemas.openxmlformats.org/drawingml/2006/main" vertOverflow="clip" vert="vert270" wrap="square" rtlCol="0" anchor="ctr" anchorCtr="0"/>
        <a:lstStyle xmlns:a="http://schemas.openxmlformats.org/drawingml/2006/main"/>
        <a:p xmlns:a="http://schemas.openxmlformats.org/drawingml/2006/main">
          <a:r>
            <a:rPr lang="en-AU" sz="1100">
              <a:ln>
                <a:solidFill>
                  <a:sysClr val="windowText" lastClr="000000"/>
                </a:solidFill>
              </a:ln>
            </a:rPr>
            <a:t>GAT_HSGPA</a:t>
          </a:r>
        </a:p>
      </cdr:txBody>
    </cdr:sp>
  </cdr:relSizeAnchor>
  <cdr:relSizeAnchor xmlns:cdr="http://schemas.openxmlformats.org/drawingml/2006/chartDrawing">
    <cdr:from>
      <cdr:x>0.9597</cdr:x>
      <cdr:y>0.23851</cdr:y>
    </cdr:from>
    <cdr:to>
      <cdr:x>1</cdr:x>
      <cdr:y>0.41092</cdr:y>
    </cdr:to>
    <cdr:sp macro="" textlink="">
      <cdr:nvSpPr>
        <cdr:cNvPr id="3" name="TextBox 1"/>
        <cdr:cNvSpPr txBox="1"/>
      </cdr:nvSpPr>
      <cdr:spPr>
        <a:xfrm xmlns:a="http://schemas.openxmlformats.org/drawingml/2006/main">
          <a:off x="7258050" y="790575"/>
          <a:ext cx="304800" cy="571500"/>
        </a:xfrm>
        <a:prstGeom xmlns:a="http://schemas.openxmlformats.org/drawingml/2006/main" prst="rect">
          <a:avLst/>
        </a:prstGeom>
      </cdr:spPr>
      <cdr:txBody>
        <a:bodyPr xmlns:a="http://schemas.openxmlformats.org/drawingml/2006/main" vert="vert270" wrap="square" rtlCol="0" anchor="ctr" anchorCtr="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1100">
              <a:ln>
                <a:solidFill>
                  <a:sysClr val="windowText" lastClr="000000"/>
                </a:solidFill>
              </a:ln>
            </a:rPr>
            <a:t>FYGPA</a:t>
          </a:r>
        </a:p>
      </cdr:txBody>
    </cdr:sp>
  </cdr:relSizeAnchor>
</c:userShapes>
</file>

<file path=word/drawings/drawing2.xml><?xml version="1.0" encoding="utf-8"?>
<c:userShapes xmlns:c="http://schemas.openxmlformats.org/drawingml/2006/chart">
  <cdr:relSizeAnchor xmlns:cdr="http://schemas.openxmlformats.org/drawingml/2006/chartDrawing">
    <cdr:from>
      <cdr:x>0.18562</cdr:x>
      <cdr:y>0.11739</cdr:y>
    </cdr:from>
    <cdr:to>
      <cdr:x>0.36957</cdr:x>
      <cdr:y>0.22609</cdr:y>
    </cdr:to>
    <cdr:sp macro="" textlink="">
      <cdr:nvSpPr>
        <cdr:cNvPr id="2" name="TextBox 1"/>
        <cdr:cNvSpPr txBox="1"/>
      </cdr:nvSpPr>
      <cdr:spPr>
        <a:xfrm xmlns:a="http://schemas.openxmlformats.org/drawingml/2006/main">
          <a:off x="1321594" y="321468"/>
          <a:ext cx="1309687" cy="2976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ln>
                <a:solidFill>
                  <a:sysClr val="windowText" lastClr="000000"/>
                </a:solidFill>
              </a:ln>
            </a:rPr>
            <a:t>All</a:t>
          </a:r>
          <a:r>
            <a:rPr lang="en-AU" sz="1100" baseline="0">
              <a:ln>
                <a:solidFill>
                  <a:sysClr val="windowText" lastClr="000000"/>
                </a:solidFill>
              </a:ln>
            </a:rPr>
            <a:t> Universies</a:t>
          </a:r>
          <a:endParaRPr lang="en-AU" sz="1100">
            <a:ln>
              <a:solidFill>
                <a:sysClr val="windowText" lastClr="000000"/>
              </a:solidFill>
            </a:ln>
          </a:endParaRPr>
        </a:p>
      </cdr:txBody>
    </cdr:sp>
  </cdr:relSizeAnchor>
  <cdr:relSizeAnchor xmlns:cdr="http://schemas.openxmlformats.org/drawingml/2006/chartDrawing">
    <cdr:from>
      <cdr:x>0</cdr:x>
      <cdr:y>0.23043</cdr:y>
    </cdr:from>
    <cdr:to>
      <cdr:x>0.0644</cdr:x>
      <cdr:y>0.66201</cdr:y>
    </cdr:to>
    <cdr:sp macro="" textlink="">
      <cdr:nvSpPr>
        <cdr:cNvPr id="6" name="TextBox 5"/>
        <cdr:cNvSpPr txBox="1"/>
      </cdr:nvSpPr>
      <cdr:spPr>
        <a:xfrm xmlns:a="http://schemas.openxmlformats.org/drawingml/2006/main">
          <a:off x="0" y="397852"/>
          <a:ext cx="339666" cy="745148"/>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AU" sz="1400">
              <a:ln>
                <a:solidFill>
                  <a:srgbClr val="C00000"/>
                </a:solidFill>
              </a:ln>
            </a:rPr>
            <a:t>GAT</a:t>
          </a:r>
        </a:p>
      </cdr:txBody>
    </cdr:sp>
  </cdr:relSizeAnchor>
  <cdr:relSizeAnchor xmlns:cdr="http://schemas.openxmlformats.org/drawingml/2006/chartDrawing">
    <cdr:from>
      <cdr:x>0.9223</cdr:x>
      <cdr:y>0.23043</cdr:y>
    </cdr:from>
    <cdr:to>
      <cdr:x>0.98671</cdr:x>
      <cdr:y>0.5594</cdr:y>
    </cdr:to>
    <cdr:sp macro="" textlink="">
      <cdr:nvSpPr>
        <cdr:cNvPr id="7" name="TextBox 1"/>
        <cdr:cNvSpPr txBox="1"/>
      </cdr:nvSpPr>
      <cdr:spPr>
        <a:xfrm xmlns:a="http://schemas.openxmlformats.org/drawingml/2006/main">
          <a:off x="7237936" y="592286"/>
          <a:ext cx="505471" cy="845569"/>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1400">
              <a:ln>
                <a:solidFill>
                  <a:schemeClr val="tx2">
                    <a:lumMod val="60000"/>
                    <a:lumOff val="40000"/>
                  </a:schemeClr>
                </a:solidFill>
              </a:ln>
            </a:rPr>
            <a:t>FYGPA</a:t>
          </a:r>
        </a:p>
      </cdr:txBody>
    </cdr:sp>
  </cdr:relSizeAnchor>
  <cdr:relSizeAnchor xmlns:cdr="http://schemas.openxmlformats.org/drawingml/2006/chartDrawing">
    <cdr:from>
      <cdr:x>0.42574</cdr:x>
      <cdr:y>0.82609</cdr:y>
    </cdr:from>
    <cdr:to>
      <cdr:x>0.58815</cdr:x>
      <cdr:y>0.98696</cdr:y>
    </cdr:to>
    <cdr:sp macro="" textlink="">
      <cdr:nvSpPr>
        <cdr:cNvPr id="8" name="TextBox 1"/>
        <cdr:cNvSpPr txBox="1"/>
      </cdr:nvSpPr>
      <cdr:spPr>
        <a:xfrm xmlns:a="http://schemas.openxmlformats.org/drawingml/2006/main">
          <a:off x="2244944" y="2341668"/>
          <a:ext cx="856396" cy="456008"/>
        </a:xfrm>
        <a:prstGeom xmlns:a="http://schemas.openxmlformats.org/drawingml/2006/main" prst="rect">
          <a:avLst/>
        </a:prstGeom>
      </cdr:spPr>
      <cdr:txBody>
        <a:bodyPr xmlns:a="http://schemas.openxmlformats.org/drawingml/2006/main" vert="horz"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1400">
              <a:ln>
                <a:solidFill>
                  <a:sysClr val="windowText" lastClr="000000"/>
                </a:solidFill>
              </a:ln>
            </a:rPr>
            <a:t>HSGPA</a:t>
          </a:r>
        </a:p>
      </cdr:txBody>
    </cdr:sp>
  </cdr:relSizeAnchor>
</c:userShapes>
</file>

<file path=word/drawings/drawing3.xml><?xml version="1.0" encoding="utf-8"?>
<c:userShapes xmlns:c="http://schemas.openxmlformats.org/drawingml/2006/chart">
  <cdr:relSizeAnchor xmlns:cdr="http://schemas.openxmlformats.org/drawingml/2006/chartDrawing">
    <cdr:from>
      <cdr:x>0.12357</cdr:x>
      <cdr:y>0.09202</cdr:y>
    </cdr:from>
    <cdr:to>
      <cdr:x>0.37775</cdr:x>
      <cdr:y>0.20072</cdr:y>
    </cdr:to>
    <cdr:sp macro="" textlink="">
      <cdr:nvSpPr>
        <cdr:cNvPr id="2" name="TextBox 1"/>
        <cdr:cNvSpPr txBox="1"/>
      </cdr:nvSpPr>
      <cdr:spPr>
        <a:xfrm xmlns:a="http://schemas.openxmlformats.org/drawingml/2006/main">
          <a:off x="708065" y="208252"/>
          <a:ext cx="1456512" cy="2460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ln>
                <a:solidFill>
                  <a:sysClr val="windowText" lastClr="000000"/>
                </a:solidFill>
              </a:ln>
            </a:rPr>
            <a:t>King_Abdulaziz_University</a:t>
          </a:r>
        </a:p>
      </cdr:txBody>
    </cdr:sp>
  </cdr:relSizeAnchor>
</c:userShapes>
</file>

<file path=word/drawings/drawing4.xml><?xml version="1.0" encoding="utf-8"?>
<c:userShapes xmlns:c="http://schemas.openxmlformats.org/drawingml/2006/chart">
  <cdr:relSizeAnchor xmlns:cdr="http://schemas.openxmlformats.org/drawingml/2006/chartDrawing">
    <cdr:from>
      <cdr:x>0.15678</cdr:x>
      <cdr:y>0.08016</cdr:y>
    </cdr:from>
    <cdr:to>
      <cdr:x>0.45277</cdr:x>
      <cdr:y>0.18886</cdr:y>
    </cdr:to>
    <cdr:sp macro="" textlink="">
      <cdr:nvSpPr>
        <cdr:cNvPr id="2" name="TextBox 1"/>
        <cdr:cNvSpPr txBox="1"/>
      </cdr:nvSpPr>
      <cdr:spPr>
        <a:xfrm xmlns:a="http://schemas.openxmlformats.org/drawingml/2006/main">
          <a:off x="898614" y="148066"/>
          <a:ext cx="1696470" cy="200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ln>
                <a:solidFill>
                  <a:sysClr val="windowText" lastClr="000000"/>
                </a:solidFill>
              </a:ln>
            </a:rPr>
            <a:t>King_Fahad_University_P&amp;M</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5241-0624-4F6D-A0CD-8D9DFF12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14</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ALI AL-QATAEE</dc:creator>
  <cp:lastModifiedBy>ABDULLAH ALI AL-QATAEE</cp:lastModifiedBy>
  <cp:revision>19</cp:revision>
  <cp:lastPrinted>2012-06-18T22:14:00Z</cp:lastPrinted>
  <dcterms:created xsi:type="dcterms:W3CDTF">2012-06-18T22:59:00Z</dcterms:created>
  <dcterms:modified xsi:type="dcterms:W3CDTF">2012-06-23T07:01:00Z</dcterms:modified>
</cp:coreProperties>
</file>